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0820BA" w:rsidTr="00040047">
        <w:trPr>
          <w:trHeight w:val="935"/>
        </w:trPr>
        <w:tc>
          <w:tcPr>
            <w:tcW w:w="5594" w:type="dxa"/>
            <w:tcBorders>
              <w:top w:val="nil"/>
              <w:left w:val="nil"/>
              <w:bottom w:val="nil"/>
              <w:right w:val="nil"/>
            </w:tcBorders>
          </w:tcPr>
          <w:p w:rsidR="00F31BE6" w:rsidRPr="00F31BE6" w:rsidRDefault="003431EC" w:rsidP="003A63DF">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1838DF">
              <w:rPr>
                <w:rFonts w:ascii="Times New Roman" w:hAnsi="Times New Roman" w:cs="Times New Roman"/>
                <w:sz w:val="28"/>
                <w:szCs w:val="28"/>
              </w:rPr>
              <w:t>16.02.2016 № 83</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sidR="001838DF">
        <w:rPr>
          <w:lang w:val="ru-RU"/>
        </w:rPr>
        <w:t>83</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001838DF">
        <w:rPr>
          <w:color w:val="000000"/>
          <w:lang w:val="ru-RU"/>
        </w:rPr>
        <w:t>Выдача разрешения на производство земляных работ на территории сельского поселения Нижнесортымский</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 xml:space="preserve">«1.3.1. Предоставление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0820BA">
        <w:t>adm</w:t>
      </w:r>
      <w:bookmarkStart w:id="0" w:name="_GoBack"/>
      <w:bookmarkEnd w:id="0"/>
      <w:r w:rsidRPr="000820BA">
        <w:rPr>
          <w:lang w:val="ru-RU"/>
        </w:rPr>
        <w:t>_</w:t>
      </w:r>
      <w:r w:rsidRPr="000820BA">
        <w:t>sortym</w:t>
      </w:r>
      <w:r w:rsidRPr="000820BA">
        <w:rPr>
          <w:lang w:val="ru-RU"/>
        </w:rPr>
        <w:t>@</w:t>
      </w:r>
      <w:r w:rsidRPr="000820BA">
        <w:t>mail</w:t>
      </w:r>
      <w:r w:rsidRPr="000820BA">
        <w:rPr>
          <w:lang w:val="ru-RU"/>
        </w:rPr>
        <w:t>.</w:t>
      </w:r>
      <w:r w:rsidRPr="000820BA">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Pr="003A63DF" w:rsidRDefault="003A63DF" w:rsidP="003A63DF">
      <w:pPr>
        <w:autoSpaceDE w:val="0"/>
        <w:autoSpaceDN w:val="0"/>
        <w:adjustRightInd w:val="0"/>
        <w:ind w:firstLine="709"/>
        <w:jc w:val="both"/>
        <w:outlineLvl w:val="0"/>
        <w:rPr>
          <w:lang w:val="ru-RU"/>
        </w:rPr>
      </w:pPr>
      <w:r w:rsidRPr="003A63DF">
        <w:rPr>
          <w:lang w:val="ru-RU"/>
        </w:rPr>
        <w:t>1.3. Пункт 2.1</w:t>
      </w:r>
      <w:r w:rsidR="00F358DC">
        <w:rPr>
          <w:lang w:val="ru-RU"/>
        </w:rPr>
        <w:t>4</w:t>
      </w:r>
      <w:r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F358DC">
        <w:rPr>
          <w:lang w:val="ru-RU"/>
        </w:rPr>
        <w:t>4</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w:t>
      </w:r>
      <w:r w:rsidRPr="003A63D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lastRenderedPageBreak/>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F358DC">
        <w:rPr>
          <w:rFonts w:ascii="Times New Roman" w:hAnsi="Times New Roman" w:cs="Times New Roman"/>
          <w:sz w:val="28"/>
          <w:szCs w:val="28"/>
        </w:rPr>
        <w:t>4</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F358DC">
        <w:rPr>
          <w:lang w:val="ru-RU" w:eastAsia="en-US"/>
        </w:rPr>
        <w:t>4</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0820BA" w:rsidRDefault="003A63DF" w:rsidP="003A63DF">
      <w:pPr>
        <w:widowControl w:val="0"/>
        <w:autoSpaceDE w:val="0"/>
        <w:autoSpaceDN w:val="0"/>
        <w:adjustRightInd w:val="0"/>
        <w:ind w:firstLine="540"/>
        <w:jc w:val="both"/>
        <w:rPr>
          <w:lang w:val="ru-RU" w:eastAsia="en-US"/>
        </w:rPr>
      </w:pPr>
      <w:r w:rsidRPr="000820BA">
        <w:rPr>
          <w:lang w:val="ru-RU" w:eastAsia="en-US"/>
        </w:rPr>
        <w:t>- наименование;</w:t>
      </w:r>
    </w:p>
    <w:p w:rsidR="003A63DF" w:rsidRPr="000820BA" w:rsidRDefault="003A63DF" w:rsidP="003A63DF">
      <w:pPr>
        <w:widowControl w:val="0"/>
        <w:autoSpaceDE w:val="0"/>
        <w:autoSpaceDN w:val="0"/>
        <w:adjustRightInd w:val="0"/>
        <w:ind w:firstLine="540"/>
        <w:jc w:val="both"/>
        <w:rPr>
          <w:lang w:val="ru-RU" w:eastAsia="en-US"/>
        </w:rPr>
      </w:pPr>
      <w:r w:rsidRPr="000820BA">
        <w:rPr>
          <w:lang w:val="ru-RU" w:eastAsia="en-US"/>
        </w:rPr>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консультирование (предоставление справочной информации) заявителей 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3A63DF" w:rsidP="003A63DF">
      <w:pPr>
        <w:autoSpaceDE w:val="0"/>
        <w:autoSpaceDN w:val="0"/>
        <w:adjustRightInd w:val="0"/>
        <w:ind w:firstLine="540"/>
        <w:jc w:val="both"/>
        <w:outlineLvl w:val="0"/>
        <w:rPr>
          <w:lang w:val="ru-RU"/>
        </w:rPr>
      </w:pPr>
      <w:r w:rsidRPr="003A63DF">
        <w:rPr>
          <w:lang w:val="ru-RU"/>
        </w:rPr>
        <w:t xml:space="preserve">1.4.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lastRenderedPageBreak/>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52" w:rsidRDefault="00392652" w:rsidP="003E2E24">
      <w:r>
        <w:separator/>
      </w:r>
    </w:p>
  </w:endnote>
  <w:endnote w:type="continuationSeparator" w:id="0">
    <w:p w:rsidR="00392652" w:rsidRDefault="00392652"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52" w:rsidRDefault="00392652" w:rsidP="003E2E24">
      <w:r>
        <w:separator/>
      </w:r>
    </w:p>
  </w:footnote>
  <w:footnote w:type="continuationSeparator" w:id="0">
    <w:p w:rsidR="00392652" w:rsidRDefault="00392652"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820BA"/>
    <w:rsid w:val="00092342"/>
    <w:rsid w:val="000C78B3"/>
    <w:rsid w:val="000F3D36"/>
    <w:rsid w:val="00152B29"/>
    <w:rsid w:val="00177363"/>
    <w:rsid w:val="001838DF"/>
    <w:rsid w:val="001A1FEF"/>
    <w:rsid w:val="001A4753"/>
    <w:rsid w:val="001A6063"/>
    <w:rsid w:val="00202EFF"/>
    <w:rsid w:val="00263841"/>
    <w:rsid w:val="002A6A23"/>
    <w:rsid w:val="002B05AB"/>
    <w:rsid w:val="002B15D4"/>
    <w:rsid w:val="002B2674"/>
    <w:rsid w:val="002B6ACE"/>
    <w:rsid w:val="002D2141"/>
    <w:rsid w:val="003239CA"/>
    <w:rsid w:val="003431EC"/>
    <w:rsid w:val="00351E43"/>
    <w:rsid w:val="00377B04"/>
    <w:rsid w:val="00392652"/>
    <w:rsid w:val="003A63DF"/>
    <w:rsid w:val="003E2E24"/>
    <w:rsid w:val="00471EAB"/>
    <w:rsid w:val="00482C5E"/>
    <w:rsid w:val="004A1489"/>
    <w:rsid w:val="004D72FA"/>
    <w:rsid w:val="005A13FC"/>
    <w:rsid w:val="005E76F7"/>
    <w:rsid w:val="006561E2"/>
    <w:rsid w:val="00656D37"/>
    <w:rsid w:val="00676D76"/>
    <w:rsid w:val="006C6C90"/>
    <w:rsid w:val="0071778D"/>
    <w:rsid w:val="00740BE0"/>
    <w:rsid w:val="00746F1C"/>
    <w:rsid w:val="008502D1"/>
    <w:rsid w:val="00907BCD"/>
    <w:rsid w:val="00990797"/>
    <w:rsid w:val="009B7C6C"/>
    <w:rsid w:val="009C1DB9"/>
    <w:rsid w:val="009D0E8F"/>
    <w:rsid w:val="009E1D06"/>
    <w:rsid w:val="00A0325D"/>
    <w:rsid w:val="00A25199"/>
    <w:rsid w:val="00AE1144"/>
    <w:rsid w:val="00B224EB"/>
    <w:rsid w:val="00B34793"/>
    <w:rsid w:val="00B35EC6"/>
    <w:rsid w:val="00BC218E"/>
    <w:rsid w:val="00BD0779"/>
    <w:rsid w:val="00C36E34"/>
    <w:rsid w:val="00CD7C1B"/>
    <w:rsid w:val="00D001E1"/>
    <w:rsid w:val="00D01D04"/>
    <w:rsid w:val="00D143F0"/>
    <w:rsid w:val="00D43566"/>
    <w:rsid w:val="00DA46AF"/>
    <w:rsid w:val="00DA512C"/>
    <w:rsid w:val="00E44CDF"/>
    <w:rsid w:val="00E4782E"/>
    <w:rsid w:val="00E65A3A"/>
    <w:rsid w:val="00E944BF"/>
    <w:rsid w:val="00ED3101"/>
    <w:rsid w:val="00EE0523"/>
    <w:rsid w:val="00EE5F2D"/>
    <w:rsid w:val="00F0673D"/>
    <w:rsid w:val="00F31BE6"/>
    <w:rsid w:val="00F358DC"/>
    <w:rsid w:val="00F91B29"/>
    <w:rsid w:val="00FB5BD7"/>
    <w:rsid w:val="00FB717B"/>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4</cp:revision>
  <cp:lastPrinted>2017-06-01T08:07:00Z</cp:lastPrinted>
  <dcterms:created xsi:type="dcterms:W3CDTF">2017-06-01T08:12:00Z</dcterms:created>
  <dcterms:modified xsi:type="dcterms:W3CDTF">2017-06-01T11:19:00Z</dcterms:modified>
</cp:coreProperties>
</file>