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/>
        <w:contextualSpacing w:val="1"/>
        <w:jc w:val="right"/>
      </w:pPr>
      <w:r>
        <w:t>09 сентября</w:t>
      </w:r>
      <w:r>
        <w:t xml:space="preserve"> </w:t>
      </w:r>
      <w:r>
        <w:t>20</w:t>
      </w:r>
      <w:r>
        <w:t>26</w:t>
      </w:r>
      <w:r>
        <w:t xml:space="preserve"> года</w:t>
      </w:r>
      <w:r>
        <w:t xml:space="preserve"> </w:t>
      </w:r>
    </w:p>
    <w:p w14:paraId="02000000">
      <w:pPr>
        <w:ind/>
        <w:contextualSpacing w:val="1"/>
        <w:jc w:val="center"/>
        <w:rPr>
          <w:sz w:val="10"/>
        </w:rPr>
      </w:pPr>
    </w:p>
    <w:tbl>
      <w:tblPr>
        <w:tblStyle w:val="Style_1"/>
        <w:tblW w:type="auto" w:w="0"/>
        <w:tblInd w:type="dxa" w:w="108"/>
        <w:tblBorders>
          <w:left w:color="000000" w:sz="4" w:val="nil"/>
          <w:right w:color="000000" w:sz="4" w:val="nil"/>
          <w:insideH w:color="000000" w:sz="4" w:val="nil"/>
          <w:insideV w:color="000000" w:sz="4" w:val="nil"/>
        </w:tblBorders>
        <w:tblLayout w:type="fixed"/>
      </w:tblPr>
      <w:tblGrid>
        <w:gridCol w:w="9922"/>
      </w:tblGrid>
      <w:tr>
        <w:tc>
          <w:tcPr>
            <w:tcW w:type="dxa" w:w="9922"/>
            <w:tcBorders>
              <w:top w:color="000000" w:sz="18" w:val="single"/>
              <w:left w:color="000000" w:sz="4" w:val="nil"/>
              <w:bottom w:color="000000" w:sz="18" w:val="single"/>
              <w:right w:color="000000" w:sz="4" w:val="nil"/>
            </w:tcBorders>
          </w:tcPr>
          <w:p w14:paraId="03000000">
            <w:pPr>
              <w:ind/>
              <w:contextualSpacing w:val="1"/>
              <w:jc w:val="center"/>
              <w:rPr>
                <w:spacing w:val="-4"/>
                <w:sz w:val="20"/>
              </w:rPr>
            </w:pPr>
          </w:p>
          <w:p w14:paraId="04000000">
            <w:pPr>
              <w:ind/>
              <w:contextualSpacing w:val="1"/>
              <w:jc w:val="center"/>
              <w:rPr>
                <w:b w:val="1"/>
                <w:spacing w:val="8"/>
              </w:rPr>
            </w:pPr>
            <w:r>
              <w:rPr>
                <w:b w:val="1"/>
                <w:spacing w:val="-4"/>
                <w:sz w:val="56"/>
              </w:rPr>
              <w:t>П Р О К У Р А Т У Р А</w:t>
            </w:r>
          </w:p>
          <w:p w14:paraId="05000000">
            <w:pPr>
              <w:ind/>
              <w:contextualSpacing w:val="1"/>
              <w:jc w:val="center"/>
              <w:rPr>
                <w:b w:val="1"/>
                <w:spacing w:val="8"/>
              </w:rPr>
            </w:pPr>
            <w:r>
              <w:rPr>
                <w:b w:val="1"/>
                <w:spacing w:val="8"/>
              </w:rPr>
              <w:t>Сургутского района</w:t>
            </w:r>
          </w:p>
          <w:p w14:paraId="06000000">
            <w:pPr>
              <w:ind/>
              <w:contextualSpacing w:val="1"/>
              <w:jc w:val="center"/>
              <w:rPr>
                <w:sz w:val="20"/>
              </w:rPr>
            </w:pPr>
          </w:p>
        </w:tc>
      </w:tr>
    </w:tbl>
    <w:p w14:paraId="07000000">
      <w:pPr>
        <w:ind/>
        <w:contextualSpacing w:val="1"/>
        <w:rPr>
          <w:b w:val="1"/>
          <w:sz w:val="20"/>
          <w:u w:val="single"/>
        </w:rPr>
      </w:pPr>
    </w:p>
    <w:p w14:paraId="08000000">
      <w:pPr>
        <w:ind/>
        <w:contextualSpacing w:val="1"/>
        <w:rPr>
          <w:sz w:val="30"/>
        </w:rPr>
      </w:pPr>
      <w:r>
        <w:rPr>
          <w:b w:val="1"/>
          <w:u w:val="single"/>
        </w:rPr>
        <w:t>Разъяснение</w:t>
      </w:r>
    </w:p>
    <w:p w14:paraId="09000000">
      <w:pPr>
        <w:ind/>
        <w:contextualSpacing w:val="1"/>
        <w:jc w:val="both"/>
      </w:pPr>
    </w:p>
    <w:p w14:paraId="0A000000">
      <w:pPr>
        <w:ind w:firstLine="0" w:left="0"/>
        <w:jc w:val="center"/>
        <w:rPr>
          <w:b w:val="1"/>
        </w:rPr>
      </w:pPr>
      <w:r>
        <w:rPr>
          <w:b w:val="1"/>
          <w:color w:val="000000"/>
          <w:sz w:val="28"/>
          <w:u w:val="none"/>
        </w:rPr>
        <w:t>«</w:t>
      </w:r>
      <w:r>
        <w:rPr>
          <w:b w:val="1"/>
        </w:rPr>
        <w:t>Утверждены правила выдачи удостоверений ветерана боевых действий участникам СВО</w:t>
      </w:r>
      <w:r>
        <w:rPr>
          <w:b w:val="1"/>
          <w:color w:val="000000"/>
        </w:rPr>
        <w:t>»</w:t>
      </w:r>
    </w:p>
    <w:p w14:paraId="0B000000">
      <w:pPr>
        <w:spacing w:before="0" w:line="240" w:lineRule="auto"/>
        <w:ind w:firstLine="709" w:left="0"/>
        <w:jc w:val="center"/>
        <w:rPr>
          <w:b w:val="0"/>
        </w:rPr>
      </w:pPr>
    </w:p>
    <w:p w14:paraId="0C000000">
      <w:pPr>
        <w:spacing w:after="0" w:before="0" w:line="240" w:lineRule="auto"/>
        <w:ind w:firstLine="709" w:left="0" w:right="0"/>
        <w:jc w:val="both"/>
        <w:rPr>
          <w:b w:val="0"/>
        </w:rPr>
      </w:pPr>
      <w:r>
        <w:t>Правила, утвержденные Постановлением Правительства РФ от 28.08.2026 №1096, устанавливают порядок выдачи удостоверения единого образца лицам, указанным в подпункте 9 пункта 1 статьи 3 Федерального закона "О ветеранах", федеральными органами исполнительной власти, направлявшими непосредственно или через свои территориальные органы, организации (учреждения), находящиеся в их ведении, заявителей для участия в СВО на территориях Украины, ДНР и ЛНР с 24 февраля 2022 г., на территориях Запорожской и Херсонской областей с 30 сентября 2022 г., либо при направлении заявителей органами госвласти субъектов РФ, органами МСУ или организациями, находящимися в их ведении, государственными внебюджетными фондами или их территориальными органами, осуществляющими деятельность в соответствующей сфере деятельности федеральных органов.</w:t>
      </w:r>
    </w:p>
    <w:p w14:paraId="0D000000">
      <w:pPr>
        <w:spacing w:after="0" w:before="0" w:line="240" w:lineRule="exact"/>
        <w:ind w:firstLine="709" w:left="0" w:right="0"/>
        <w:jc w:val="both"/>
        <w:rPr>
          <w:b w:val="0"/>
        </w:rPr>
      </w:pPr>
    </w:p>
    <w:p w14:paraId="0E000000">
      <w:pPr>
        <w:spacing w:line="240" w:lineRule="exact"/>
        <w:ind w:firstLine="0" w:left="-709"/>
        <w:jc w:val="both"/>
        <w:rPr>
          <w:b w:val="1"/>
          <w:color w:val="333333"/>
        </w:rPr>
      </w:pPr>
    </w:p>
    <w:p w14:paraId="0F000000">
      <w:pPr>
        <w:spacing w:line="240" w:lineRule="exact"/>
        <w:ind w:right="-2"/>
        <w:contextualSpacing w:val="1"/>
        <w:jc w:val="both"/>
      </w:pPr>
      <w:r>
        <w:t>П</w:t>
      </w:r>
      <w:r>
        <w:t xml:space="preserve">рокурор </w:t>
      </w:r>
      <w:r>
        <w:t>района</w:t>
      </w:r>
      <w:r>
        <w:tab/>
      </w:r>
      <w:r>
        <w:tab/>
      </w:r>
      <w:r>
        <w:tab/>
      </w:r>
      <w:r>
        <w:tab/>
      </w:r>
      <w:r>
        <w:t xml:space="preserve">                  </w:t>
      </w:r>
      <w:r>
        <w:t xml:space="preserve">    </w:t>
      </w:r>
      <w:r>
        <w:t xml:space="preserve">                  </w:t>
      </w:r>
      <w:r>
        <w:t xml:space="preserve">  </w:t>
      </w:r>
      <w:r>
        <w:t xml:space="preserve"> </w:t>
      </w:r>
      <w:r>
        <w:t xml:space="preserve">       </w:t>
      </w:r>
      <w:r>
        <w:t xml:space="preserve"> </w:t>
      </w:r>
      <w:r>
        <w:t>М.Ш. Мавлютов</w:t>
      </w:r>
    </w:p>
    <w:p w14:paraId="10000000">
      <w:pPr>
        <w:ind w:right="-2"/>
        <w:contextualSpacing w:val="1"/>
        <w:jc w:val="both"/>
        <w:rPr>
          <w:b w:val="1"/>
          <w:sz w:val="20"/>
        </w:rPr>
      </w:pPr>
    </w:p>
    <w:p w14:paraId="11000000">
      <w:pPr>
        <w:ind w:right="-2"/>
        <w:contextualSpacing w:val="1"/>
        <w:jc w:val="both"/>
        <w:rPr>
          <w:b w:val="1"/>
          <w:sz w:val="20"/>
        </w:rPr>
      </w:pPr>
    </w:p>
    <w:p w14:paraId="12000000">
      <w:pPr>
        <w:ind w:right="-2"/>
        <w:contextualSpacing w:val="1"/>
        <w:jc w:val="both"/>
        <w:rPr>
          <w:b w:val="1"/>
          <w:sz w:val="20"/>
        </w:rPr>
      </w:pPr>
    </w:p>
    <w:p w14:paraId="13000000">
      <w:pPr>
        <w:ind w:right="-2"/>
        <w:contextualSpacing w:val="1"/>
        <w:jc w:val="both"/>
      </w:pPr>
    </w:p>
    <w:p w14:paraId="14000000">
      <w:pPr>
        <w:ind w:right="-2"/>
        <w:contextualSpacing w:val="1"/>
        <w:jc w:val="both"/>
      </w:pPr>
    </w:p>
    <w:p w14:paraId="15000000">
      <w:pPr>
        <w:ind w:right="-2"/>
        <w:contextualSpacing w:val="1"/>
        <w:jc w:val="both"/>
      </w:pPr>
    </w:p>
    <w:p w14:paraId="16000000">
      <w:pPr>
        <w:ind w:right="-2"/>
        <w:contextualSpacing w:val="1"/>
        <w:jc w:val="both"/>
      </w:pPr>
    </w:p>
    <w:p w14:paraId="17000000">
      <w:pPr>
        <w:ind w:right="-2"/>
        <w:contextualSpacing w:val="1"/>
        <w:jc w:val="both"/>
      </w:pPr>
    </w:p>
    <w:p w14:paraId="18000000">
      <w:pPr>
        <w:ind w:right="-2"/>
        <w:contextualSpacing w:val="1"/>
        <w:jc w:val="both"/>
      </w:pPr>
    </w:p>
    <w:p w14:paraId="19000000">
      <w:pPr>
        <w:ind w:right="-2"/>
        <w:contextualSpacing w:val="1"/>
        <w:jc w:val="both"/>
      </w:pPr>
    </w:p>
    <w:p w14:paraId="1A000000">
      <w:pPr>
        <w:ind w:right="-2"/>
        <w:contextualSpacing w:val="1"/>
        <w:jc w:val="both"/>
      </w:pPr>
    </w:p>
    <w:p w14:paraId="1B000000">
      <w:pPr>
        <w:ind w:right="-2"/>
        <w:contextualSpacing w:val="1"/>
        <w:jc w:val="both"/>
      </w:pPr>
    </w:p>
    <w:p w14:paraId="1C000000">
      <w:pPr>
        <w:ind w:right="-2"/>
        <w:contextualSpacing w:val="1"/>
        <w:jc w:val="both"/>
      </w:pPr>
    </w:p>
    <w:p w14:paraId="1D000000">
      <w:pPr>
        <w:ind w:right="-2"/>
        <w:contextualSpacing w:val="1"/>
        <w:jc w:val="both"/>
      </w:pPr>
    </w:p>
    <w:p w14:paraId="1E000000">
      <w:pPr>
        <w:ind w:right="-2"/>
        <w:contextualSpacing w:val="1"/>
        <w:jc w:val="both"/>
      </w:pPr>
    </w:p>
    <w:p w14:paraId="1F000000">
      <w:pPr>
        <w:ind w:right="-2"/>
        <w:contextualSpacing w:val="1"/>
        <w:jc w:val="both"/>
      </w:pPr>
    </w:p>
    <w:p w14:paraId="20000000">
      <w:pPr>
        <w:ind w:right="-2"/>
        <w:contextualSpacing w:val="1"/>
        <w:jc w:val="both"/>
      </w:pPr>
    </w:p>
    <w:p w14:paraId="21000000">
      <w:pPr>
        <w:ind w:right="-2"/>
        <w:contextualSpacing w:val="1"/>
        <w:jc w:val="both"/>
      </w:pPr>
    </w:p>
    <w:p w14:paraId="22000000">
      <w:pPr>
        <w:ind w:right="-2"/>
        <w:contextualSpacing w:val="1"/>
        <w:jc w:val="both"/>
      </w:pPr>
      <w:r>
        <w:rPr>
          <w:b w:val="1"/>
          <w:sz w:val="20"/>
        </w:rPr>
        <w:t>П</w:t>
      </w:r>
      <w:r>
        <w:rPr>
          <w:b w:val="1"/>
          <w:sz w:val="20"/>
        </w:rPr>
        <w:t>ри использовании указанной информации ссылка на прокуратуру района является обязательной. При освещении информации в теле-, радиоэфирах необходимо направлять эфирные справки (количество эфиров с учетом повторов) на адрес электронной почты (</w:t>
      </w:r>
      <w:r>
        <w:rPr>
          <w:b w:val="1"/>
          <w:sz w:val="20"/>
        </w:rPr>
        <w:t>prokuratura</w:t>
      </w:r>
      <w:r>
        <w:rPr>
          <w:b w:val="1"/>
          <w:sz w:val="20"/>
        </w:rPr>
        <w:t>-</w:t>
      </w:r>
      <w:r>
        <w:rPr>
          <w:b w:val="1"/>
          <w:sz w:val="20"/>
        </w:rPr>
        <w:t>sr</w:t>
      </w:r>
      <w:r>
        <w:rPr>
          <w:b w:val="1"/>
          <w:sz w:val="20"/>
        </w:rPr>
        <w:t>@</w:t>
      </w:r>
      <w:r>
        <w:rPr>
          <w:b w:val="1"/>
          <w:sz w:val="20"/>
        </w:rPr>
        <w:t>mail</w:t>
      </w:r>
      <w:r>
        <w:rPr>
          <w:b w:val="1"/>
          <w:sz w:val="20"/>
        </w:rPr>
        <w:t xml:space="preserve">.ru) или по каналам </w:t>
      </w:r>
      <w:r>
        <w:rPr>
          <w:b w:val="1"/>
          <w:sz w:val="20"/>
        </w:rPr>
        <w:t xml:space="preserve">телефонной </w:t>
      </w:r>
      <w:r>
        <w:rPr>
          <w:b w:val="1"/>
          <w:sz w:val="20"/>
        </w:rPr>
        <w:t>связи на тел. 8 (3462) 2199</w:t>
      </w:r>
      <w:r>
        <w:rPr>
          <w:b w:val="1"/>
          <w:sz w:val="20"/>
        </w:rPr>
        <w:t>95</w:t>
      </w:r>
    </w:p>
    <w:sectPr>
      <w:pgSz w:h="16838" w:orient="portrait" w:w="11906"/>
      <w:pgMar w:bottom="709" w:footer="709" w:gutter="0" w:header="709" w:left="1418" w:right="567" w:top="993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spacing w:after="0" w:line="240" w:lineRule="auto"/>
      <w:ind/>
    </w:pPr>
    <w:rPr>
      <w:rFonts w:ascii="Times New Roman" w:hAnsi="Times New Roman"/>
      <w:sz w:val="28"/>
    </w:rPr>
  </w:style>
  <w:style w:default="1" w:styleId="Style_2_ch" w:type="character">
    <w:name w:val="Normal"/>
    <w:link w:val="Style_2"/>
    <w:rPr>
      <w:rFonts w:ascii="Times New Roman" w:hAnsi="Times New Roman"/>
      <w:sz w:val="28"/>
    </w:rPr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basedOn w:val="Style_2"/>
    <w:next w:val="Style_2"/>
    <w:link w:val="Style_8_ch"/>
    <w:uiPriority w:val="9"/>
    <w:qFormat/>
    <w:pPr>
      <w:keepNext w:val="1"/>
      <w:keepLines w:val="1"/>
      <w:spacing w:before="200"/>
      <w:ind/>
      <w:outlineLvl w:val="2"/>
    </w:pPr>
    <w:rPr>
      <w:rFonts w:asciiTheme="majorAscii" w:hAnsiTheme="majorHAnsi"/>
      <w:b w:val="1"/>
      <w:color w:themeColor="accent1" w:val="4472C4"/>
    </w:rPr>
  </w:style>
  <w:style w:styleId="Style_8_ch" w:type="character">
    <w:name w:val="heading 3"/>
    <w:basedOn w:val="Style_2_ch"/>
    <w:link w:val="Style_8"/>
    <w:rPr>
      <w:rFonts w:asciiTheme="majorAscii" w:hAnsiTheme="majorHAnsi"/>
      <w:b w:val="1"/>
      <w:color w:themeColor="accent1" w:val="4472C4"/>
    </w:rPr>
  </w:style>
  <w:style w:styleId="Style_9" w:type="paragraph">
    <w:name w:val="header"/>
    <w:basedOn w:val="Style_2"/>
    <w:link w:val="Style_9_ch"/>
    <w:pPr>
      <w:tabs>
        <w:tab w:leader="none" w:pos="4677" w:val="center"/>
        <w:tab w:leader="none" w:pos="9355" w:val="right"/>
      </w:tabs>
      <w:ind/>
    </w:pPr>
  </w:style>
  <w:style w:styleId="Style_9_ch" w:type="character">
    <w:name w:val="header"/>
    <w:basedOn w:val="Style_2_ch"/>
    <w:link w:val="Style_9"/>
  </w:style>
  <w:style w:styleId="Style_10" w:type="paragraph">
    <w:name w:val="Balloon Text"/>
    <w:basedOn w:val="Style_2"/>
    <w:link w:val="Style_10_ch"/>
    <w:rPr>
      <w:rFonts w:ascii="Segoe UI" w:hAnsi="Segoe UI"/>
      <w:sz w:val="18"/>
    </w:rPr>
  </w:style>
  <w:style w:styleId="Style_10_ch" w:type="character">
    <w:name w:val="Balloon Text"/>
    <w:basedOn w:val="Style_2_ch"/>
    <w:link w:val="Style_10"/>
    <w:rPr>
      <w:rFonts w:ascii="Segoe UI" w:hAnsi="Segoe UI"/>
      <w:sz w:val="18"/>
    </w:rPr>
  </w:style>
  <w:style w:styleId="Style_11" w:type="paragraph">
    <w:name w:val="No Spacing"/>
    <w:link w:val="Style_11_ch"/>
    <w:pPr>
      <w:spacing w:after="0" w:line="240" w:lineRule="auto"/>
      <w:ind/>
    </w:pPr>
    <w:rPr>
      <w:rFonts w:ascii="Calibri" w:hAnsi="Calibri"/>
    </w:rPr>
  </w:style>
  <w:style w:styleId="Style_11_ch" w:type="character">
    <w:name w:val="No Spacing"/>
    <w:link w:val="Style_11"/>
    <w:rPr>
      <w:rFonts w:ascii="Calibri" w:hAnsi="Calibri"/>
    </w:rPr>
  </w:style>
  <w:style w:styleId="Style_12" w:type="paragraph">
    <w:name w:val="toc 3"/>
    <w:next w:val="Style_2"/>
    <w:link w:val="Style_12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3" w:type="paragraph">
    <w:name w:val="Body Text Indent"/>
    <w:basedOn w:val="Style_2"/>
    <w:link w:val="Style_13_ch"/>
    <w:pPr>
      <w:ind w:firstLine="709" w:left="0"/>
      <w:jc w:val="both"/>
    </w:pPr>
  </w:style>
  <w:style w:styleId="Style_13_ch" w:type="character">
    <w:name w:val="Body Text Indent"/>
    <w:basedOn w:val="Style_2_ch"/>
    <w:link w:val="Style_13"/>
  </w:style>
  <w:style w:styleId="Style_14" w:type="paragraph">
    <w:name w:val="heading 5"/>
    <w:basedOn w:val="Style_2"/>
    <w:next w:val="Style_2"/>
    <w:link w:val="Style_14_ch"/>
    <w:uiPriority w:val="9"/>
    <w:qFormat/>
    <w:pPr>
      <w:keepNext w:val="1"/>
      <w:keepLines w:val="1"/>
      <w:spacing w:before="200"/>
      <w:ind/>
      <w:outlineLvl w:val="4"/>
    </w:pPr>
    <w:rPr>
      <w:rFonts w:asciiTheme="majorAscii" w:hAnsiTheme="majorHAnsi"/>
      <w:color w:themeColor="accent1" w:themeShade="7F" w:val="203864"/>
    </w:rPr>
  </w:style>
  <w:style w:styleId="Style_14_ch" w:type="character">
    <w:name w:val="heading 5"/>
    <w:basedOn w:val="Style_2_ch"/>
    <w:link w:val="Style_14"/>
    <w:rPr>
      <w:rFonts w:asciiTheme="majorAscii" w:hAnsiTheme="majorHAnsi"/>
      <w:color w:themeColor="accent1" w:themeShade="7F" w:val="203864"/>
    </w:rPr>
  </w:style>
  <w:style w:styleId="Style_15" w:type="paragraph">
    <w:name w:val="heading 1"/>
    <w:basedOn w:val="Style_2"/>
    <w:next w:val="Style_2"/>
    <w:link w:val="Style_15_ch"/>
    <w:uiPriority w:val="9"/>
    <w:qFormat/>
    <w:pPr>
      <w:keepNext w:val="1"/>
      <w:keepLines w:val="1"/>
      <w:spacing w:before="480"/>
      <w:ind/>
      <w:outlineLvl w:val="0"/>
    </w:pPr>
    <w:rPr>
      <w:rFonts w:asciiTheme="majorAscii" w:hAnsiTheme="majorHAnsi"/>
      <w:b w:val="1"/>
      <w:color w:themeColor="accent1" w:themeShade="BF" w:val="2F5496"/>
    </w:rPr>
  </w:style>
  <w:style w:styleId="Style_15_ch" w:type="character">
    <w:name w:val="heading 1"/>
    <w:basedOn w:val="Style_2_ch"/>
    <w:link w:val="Style_15"/>
    <w:rPr>
      <w:rFonts w:asciiTheme="majorAscii" w:hAnsiTheme="majorHAnsi"/>
      <w:b w:val="1"/>
      <w:color w:themeColor="accent1" w:themeShade="BF" w:val="2F5496"/>
    </w:rPr>
  </w:style>
  <w:style w:styleId="Style_16" w:type="paragraph">
    <w:name w:val="Hyperlink"/>
    <w:basedOn w:val="Style_17"/>
    <w:link w:val="Style_16_ch"/>
    <w:rPr>
      <w:color w:themeColor="hyperlink" w:val="0563C1"/>
      <w:u w:val="single"/>
    </w:rPr>
  </w:style>
  <w:style w:styleId="Style_16_ch" w:type="character">
    <w:name w:val="Hyperlink"/>
    <w:basedOn w:val="Style_17_ch"/>
    <w:link w:val="Style_16"/>
    <w:rPr>
      <w:color w:themeColor="hyperlink" w:val="0563C1"/>
      <w:u w:val="single"/>
    </w:rPr>
  </w:style>
  <w:style w:styleId="Style_18" w:type="paragraph">
    <w:name w:val="Footnote"/>
    <w:link w:val="Style_18_ch"/>
    <w:pPr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2"/>
    <w:link w:val="Style_19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spacing w:line="240" w:lineRule="auto"/>
      <w:ind/>
      <w:jc w:val="both"/>
    </w:pPr>
    <w:rPr>
      <w:rFonts w:ascii="XO Thames" w:hAnsi="XO Thames"/>
      <w:sz w:val="28"/>
    </w:rPr>
  </w:style>
  <w:style w:styleId="Style_20_ch" w:type="character">
    <w:name w:val="Header and Footer"/>
    <w:link w:val="Style_20"/>
    <w:rPr>
      <w:rFonts w:ascii="XO Thames" w:hAnsi="XO Thames"/>
      <w:sz w:val="28"/>
    </w:rPr>
  </w:style>
  <w:style w:styleId="Style_21" w:type="paragraph">
    <w:name w:val="toc 9"/>
    <w:next w:val="Style_2"/>
    <w:link w:val="Style_21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2"/>
    <w:link w:val="Style_22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23" w:type="paragraph">
    <w:name w:val="toc 5"/>
    <w:next w:val="Style_2"/>
    <w:link w:val="Style_23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Normal (Web)"/>
    <w:basedOn w:val="Style_2"/>
    <w:link w:val="Style_24_ch"/>
    <w:pPr>
      <w:spacing w:afterAutospacing="on" w:beforeAutospacing="on"/>
      <w:ind/>
    </w:pPr>
    <w:rPr>
      <w:sz w:val="24"/>
    </w:rPr>
  </w:style>
  <w:style w:styleId="Style_24_ch" w:type="character">
    <w:name w:val="Normal (Web)"/>
    <w:basedOn w:val="Style_2_ch"/>
    <w:link w:val="Style_24"/>
    <w:rPr>
      <w:sz w:val="24"/>
    </w:rPr>
  </w:style>
  <w:style w:styleId="Style_25" w:type="paragraph">
    <w:name w:val="footer"/>
    <w:basedOn w:val="Style_2"/>
    <w:link w:val="Style_25_ch"/>
    <w:pPr>
      <w:tabs>
        <w:tab w:leader="none" w:pos="4677" w:val="center"/>
        <w:tab w:leader="none" w:pos="9355" w:val="right"/>
      </w:tabs>
      <w:ind/>
    </w:pPr>
  </w:style>
  <w:style w:styleId="Style_25_ch" w:type="character">
    <w:name w:val="footer"/>
    <w:basedOn w:val="Style_2_ch"/>
    <w:link w:val="Style_25"/>
  </w:style>
  <w:style w:styleId="Style_26" w:type="paragraph">
    <w:name w:val="Subtitle"/>
    <w:next w:val="Style_2"/>
    <w:link w:val="Style_2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2"/>
    <w:link w:val="Style_2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2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9" w:type="paragraph">
    <w:name w:val="heading 2"/>
    <w:basedOn w:val="Style_2"/>
    <w:next w:val="Style_2"/>
    <w:link w:val="Style_29_ch"/>
    <w:uiPriority w:val="9"/>
    <w:qFormat/>
    <w:pPr>
      <w:keepNext w:val="1"/>
      <w:keepLines w:val="1"/>
      <w:spacing w:before="200"/>
      <w:ind/>
      <w:outlineLvl w:val="1"/>
    </w:pPr>
    <w:rPr>
      <w:rFonts w:asciiTheme="majorAscii" w:hAnsiTheme="majorHAnsi"/>
      <w:b w:val="1"/>
      <w:color w:themeColor="accent1" w:val="4472C4"/>
      <w:sz w:val="26"/>
    </w:rPr>
  </w:style>
  <w:style w:styleId="Style_29_ch" w:type="character">
    <w:name w:val="heading 2"/>
    <w:basedOn w:val="Style_2_ch"/>
    <w:link w:val="Style_29"/>
    <w:rPr>
      <w:rFonts w:asciiTheme="majorAscii" w:hAnsiTheme="majorHAnsi"/>
      <w:b w:val="1"/>
      <w:color w:themeColor="accent1" w:val="4472C4"/>
      <w:sz w:val="26"/>
    </w:rPr>
  </w:style>
  <w:style w:default="1" w:styleId="Style_3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styleId="Style_1" w:type="table">
    <w:name w:val="Table Grid"/>
    <w:basedOn w:val="Style_30"/>
    <w:pPr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MyOffice-CoreFramework-Linux/31-1176.784.8785.803.1@b7d79ee91c0484ce8e5066dc862bfc403a32edb5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2026-09-08T10:07:02Z</dcterms:modified>
</cp:coreProperties>
</file>