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contextualSpacing w:val="1"/>
        <w:jc w:val="right"/>
      </w:pPr>
      <w:r>
        <w:t>24 сентября</w:t>
      </w:r>
      <w:r>
        <w:t xml:space="preserve"> </w:t>
      </w:r>
      <w:r>
        <w:t>20</w:t>
      </w:r>
      <w:r>
        <w:t>26</w:t>
      </w:r>
      <w:r>
        <w:t xml:space="preserve"> года</w:t>
      </w:r>
      <w:r>
        <w:t xml:space="preserve"> </w:t>
      </w:r>
    </w:p>
    <w:p w14:paraId="02000000">
      <w:pPr>
        <w:ind/>
        <w:contextualSpacing w:val="1"/>
        <w:jc w:val="center"/>
        <w:rPr>
          <w:sz w:val="10"/>
        </w:rPr>
      </w:pPr>
    </w:p>
    <w:tbl>
      <w:tblPr>
        <w:tblStyle w:val="Style_1"/>
        <w:tblW w:type="auto" w:w="0"/>
        <w:tblInd w:type="dxa" w:w="108"/>
        <w:tblBorders>
          <w:left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9922"/>
      </w:tblGrid>
      <w:tr>
        <w:tc>
          <w:tcPr>
            <w:tcW w:type="dxa" w:w="9922"/>
            <w:tcBorders>
              <w:top w:color="000000" w:sz="18" w:val="single"/>
              <w:left w:color="000000" w:sz="4" w:val="nil"/>
              <w:bottom w:color="000000" w:sz="18" w:val="single"/>
              <w:right w:color="000000" w:sz="4" w:val="nil"/>
            </w:tcBorders>
          </w:tcPr>
          <w:p w14:paraId="03000000">
            <w:pPr>
              <w:ind/>
              <w:contextualSpacing w:val="1"/>
              <w:jc w:val="center"/>
              <w:rPr>
                <w:spacing w:val="-4"/>
                <w:sz w:val="20"/>
              </w:rPr>
            </w:pPr>
          </w:p>
          <w:p w14:paraId="04000000">
            <w:pPr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-4"/>
                <w:sz w:val="56"/>
              </w:rPr>
              <w:t>П Р О К У Р А Т У Р А</w:t>
            </w:r>
          </w:p>
          <w:p w14:paraId="05000000">
            <w:pPr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8"/>
              </w:rPr>
              <w:t>Сургутского района</w:t>
            </w:r>
          </w:p>
          <w:p w14:paraId="06000000">
            <w:pPr>
              <w:ind/>
              <w:contextualSpacing w:val="1"/>
              <w:jc w:val="center"/>
              <w:rPr>
                <w:sz w:val="20"/>
              </w:rPr>
            </w:pPr>
          </w:p>
        </w:tc>
      </w:tr>
    </w:tbl>
    <w:p w14:paraId="07000000">
      <w:pPr>
        <w:ind/>
        <w:contextualSpacing w:val="1"/>
        <w:rPr>
          <w:b w:val="1"/>
          <w:sz w:val="20"/>
          <w:u w:val="single"/>
        </w:rPr>
      </w:pPr>
    </w:p>
    <w:p w14:paraId="08000000">
      <w:pPr>
        <w:ind/>
        <w:contextualSpacing w:val="1"/>
        <w:rPr>
          <w:sz w:val="30"/>
        </w:rPr>
      </w:pPr>
      <w:r>
        <w:rPr>
          <w:b w:val="1"/>
          <w:u w:val="single"/>
        </w:rPr>
        <w:t>Разъяснение</w:t>
      </w:r>
    </w:p>
    <w:p w14:paraId="09000000">
      <w:pPr>
        <w:ind/>
        <w:contextualSpacing w:val="1"/>
        <w:jc w:val="both"/>
      </w:pPr>
    </w:p>
    <w:p w14:paraId="0A000000">
      <w:pPr>
        <w:spacing w:before="0" w:line="240" w:lineRule="auto"/>
        <w:ind w:firstLine="0" w:left="0"/>
        <w:jc w:val="center"/>
        <w:rPr>
          <w:b w:val="0"/>
        </w:rPr>
      </w:pPr>
      <w:r>
        <w:rPr>
          <w:b w:val="1"/>
          <w:color w:val="000000"/>
          <w:sz w:val="28"/>
          <w:u w:val="none"/>
        </w:rPr>
        <w:t>«</w:t>
      </w:r>
      <w:r>
        <w:rPr>
          <w:b w:val="1"/>
        </w:rPr>
        <w:t>Конституционный суд РФ: вдовы уволенных со службы военнослужащих, умерших вследствие военной травмы, имеют право на две пенсии</w:t>
      </w:r>
      <w:r>
        <w:rPr>
          <w:b w:val="1"/>
          <w:color w:val="000000"/>
        </w:rPr>
        <w:t>»</w:t>
      </w:r>
    </w:p>
    <w:p w14:paraId="0B000000">
      <w:pPr>
        <w:spacing w:before="0" w:line="240" w:lineRule="exact"/>
        <w:ind w:firstLine="0" w:left="0"/>
        <w:jc w:val="center"/>
        <w:rPr>
          <w:b w:val="0"/>
        </w:rPr>
      </w:pPr>
    </w:p>
    <w:p w14:paraId="0C000000">
      <w:pPr>
        <w:spacing w:before="0" w:line="240" w:lineRule="exact"/>
        <w:ind w:firstLine="709" w:left="0"/>
        <w:jc w:val="center"/>
        <w:rPr>
          <w:b w:val="0"/>
        </w:rPr>
      </w:pPr>
    </w:p>
    <w:p w14:paraId="0D000000">
      <w:pPr>
        <w:spacing w:after="0" w:before="0" w:line="240" w:lineRule="auto"/>
        <w:ind w:firstLine="709" w:left="0" w:right="0"/>
        <w:jc w:val="both"/>
        <w:rPr>
          <w:b w:val="0"/>
        </w:rPr>
      </w:pPr>
      <w:r>
        <w:rPr>
          <w:b w:val="0"/>
        </w:rPr>
        <w:t>По мнению заявительницы, оспариваемое законоположение (часть вторая статьи 7 Закона РФ от 12 февраля 1993 года N 4468-I) исключает возможность одновременного назначения двух пенсий вдовам военнослужащих, умерших, а не погибших вследствие военной травмы, и тем самым устанавливает для них худшие условия пенсионного обеспечения по сравнению с иными членами семей военнослужащих и приравненных к ним категорий граждан, в частности с родителями, которым указанное право предоставляется как в случае гибели, так и в случае смерти военнослужащих вследствие военной травмы.</w:t>
      </w:r>
    </w:p>
    <w:p w14:paraId="0E000000">
      <w:pPr>
        <w:spacing w:after="0" w:before="0" w:line="240" w:lineRule="auto"/>
        <w:ind w:firstLine="709" w:left="0" w:right="0"/>
        <w:jc w:val="both"/>
        <w:rPr>
          <w:b w:val="0"/>
        </w:rPr>
      </w:pPr>
      <w:r>
        <w:rPr>
          <w:b w:val="0"/>
        </w:rPr>
        <w:t>Конституционный Суд РФ установил, что оспариваемая норма нарушает принципы равенства и справедливости, закрепленные в Конституции РФ.</w:t>
      </w:r>
    </w:p>
    <w:p w14:paraId="0F000000">
      <w:pPr>
        <w:spacing w:after="0" w:before="0" w:line="240" w:lineRule="auto"/>
        <w:ind w:firstLine="709" w:left="0" w:right="0"/>
        <w:jc w:val="both"/>
        <w:rPr>
          <w:b w:val="0"/>
        </w:rPr>
      </w:pPr>
      <w:r>
        <w:rPr>
          <w:b w:val="0"/>
        </w:rPr>
        <w:t>До внесения изменений в законодательство уполномоченные органы обязаны назначать две пенсии вдовам военнослужащих, умерших после увольнения со службы из-за военной травмы. Две пенсии (например, страховая по старости и государственная по случаю потери кормильца) выплачиваются до тех пор, пока вдова не вступит в новый брак.</w:t>
      </w:r>
    </w:p>
    <w:p w14:paraId="10000000">
      <w:pPr>
        <w:spacing w:after="0" w:before="0" w:line="240" w:lineRule="exact"/>
        <w:ind w:firstLine="709" w:left="0" w:right="0"/>
        <w:jc w:val="both"/>
        <w:rPr>
          <w:b w:val="0"/>
        </w:rPr>
      </w:pPr>
    </w:p>
    <w:p w14:paraId="11000000">
      <w:pPr>
        <w:spacing w:line="240" w:lineRule="exact"/>
        <w:ind w:firstLine="0" w:left="-709"/>
        <w:jc w:val="both"/>
        <w:rPr>
          <w:b w:val="1"/>
          <w:color w:val="333333"/>
        </w:rPr>
      </w:pPr>
    </w:p>
    <w:p w14:paraId="12000000">
      <w:pPr>
        <w:spacing w:line="240" w:lineRule="exact"/>
        <w:ind w:right="-2"/>
        <w:contextualSpacing w:val="1"/>
        <w:jc w:val="both"/>
      </w:pPr>
      <w:r>
        <w:t>П</w:t>
      </w:r>
      <w:r>
        <w:t xml:space="preserve">рокурор </w:t>
      </w:r>
      <w:r>
        <w:t>района</w:t>
      </w:r>
      <w:r>
        <w:tab/>
      </w:r>
      <w:r>
        <w:tab/>
      </w:r>
      <w:r>
        <w:tab/>
      </w:r>
      <w:r>
        <w:tab/>
      </w:r>
      <w:r>
        <w:t xml:space="preserve">                  </w:t>
      </w:r>
      <w:r>
        <w:t xml:space="preserve">    </w:t>
      </w:r>
      <w:r>
        <w:t xml:space="preserve">                  </w:t>
      </w:r>
      <w:r>
        <w:t xml:space="preserve">  </w:t>
      </w:r>
      <w:r>
        <w:t xml:space="preserve"> </w:t>
      </w:r>
      <w:r>
        <w:t xml:space="preserve">       </w:t>
      </w:r>
      <w:r>
        <w:t xml:space="preserve"> </w:t>
      </w:r>
      <w:r>
        <w:t>М.Ш. Мавлютов</w:t>
      </w:r>
    </w:p>
    <w:p w14:paraId="13000000">
      <w:pPr>
        <w:ind w:right="-2"/>
        <w:contextualSpacing w:val="1"/>
        <w:jc w:val="both"/>
        <w:rPr>
          <w:b w:val="1"/>
          <w:sz w:val="20"/>
        </w:rPr>
      </w:pPr>
    </w:p>
    <w:p w14:paraId="14000000">
      <w:pPr>
        <w:ind w:right="-2"/>
        <w:contextualSpacing w:val="1"/>
        <w:jc w:val="both"/>
        <w:rPr>
          <w:b w:val="1"/>
          <w:sz w:val="20"/>
        </w:rPr>
      </w:pPr>
    </w:p>
    <w:p w14:paraId="15000000">
      <w:pPr>
        <w:ind w:right="-2"/>
        <w:contextualSpacing w:val="1"/>
        <w:jc w:val="both"/>
        <w:rPr>
          <w:b w:val="1"/>
          <w:sz w:val="20"/>
        </w:rPr>
      </w:pPr>
    </w:p>
    <w:p w14:paraId="16000000">
      <w:pPr>
        <w:ind w:right="-2"/>
        <w:contextualSpacing w:val="1"/>
        <w:jc w:val="both"/>
      </w:pPr>
    </w:p>
    <w:p w14:paraId="17000000">
      <w:pPr>
        <w:ind w:right="-2"/>
        <w:contextualSpacing w:val="1"/>
        <w:jc w:val="both"/>
      </w:pPr>
    </w:p>
    <w:p w14:paraId="18000000">
      <w:pPr>
        <w:ind w:right="-2"/>
        <w:contextualSpacing w:val="1"/>
        <w:jc w:val="both"/>
      </w:pPr>
    </w:p>
    <w:p w14:paraId="19000000">
      <w:pPr>
        <w:ind w:right="-2"/>
        <w:contextualSpacing w:val="1"/>
        <w:jc w:val="both"/>
      </w:pPr>
    </w:p>
    <w:p w14:paraId="1A000000">
      <w:pPr>
        <w:ind w:right="-2"/>
        <w:contextualSpacing w:val="1"/>
        <w:jc w:val="both"/>
      </w:pPr>
    </w:p>
    <w:p w14:paraId="1B000000">
      <w:pPr>
        <w:ind w:right="-2"/>
        <w:contextualSpacing w:val="1"/>
        <w:jc w:val="both"/>
      </w:pPr>
    </w:p>
    <w:p w14:paraId="1C000000">
      <w:pPr>
        <w:ind w:right="-2"/>
        <w:contextualSpacing w:val="1"/>
        <w:jc w:val="both"/>
      </w:pPr>
    </w:p>
    <w:p w14:paraId="1D000000">
      <w:pPr>
        <w:ind w:right="-2"/>
        <w:contextualSpacing w:val="1"/>
        <w:jc w:val="both"/>
      </w:pPr>
    </w:p>
    <w:p w14:paraId="1E000000">
      <w:pPr>
        <w:ind w:right="-2"/>
        <w:contextualSpacing w:val="1"/>
        <w:jc w:val="both"/>
      </w:pPr>
    </w:p>
    <w:p w14:paraId="1F000000">
      <w:pPr>
        <w:ind w:right="-2"/>
        <w:contextualSpacing w:val="1"/>
        <w:jc w:val="both"/>
      </w:pPr>
    </w:p>
    <w:p w14:paraId="20000000">
      <w:pPr>
        <w:ind w:right="-2"/>
        <w:contextualSpacing w:val="1"/>
        <w:jc w:val="both"/>
      </w:pPr>
    </w:p>
    <w:p w14:paraId="21000000">
      <w:pPr>
        <w:ind w:right="-2"/>
        <w:contextualSpacing w:val="1"/>
        <w:jc w:val="both"/>
      </w:pPr>
      <w:r>
        <w:rPr>
          <w:b w:val="1"/>
          <w:sz w:val="20"/>
        </w:rPr>
        <w:t>П</w:t>
      </w:r>
      <w:r>
        <w:rPr>
          <w:b w:val="1"/>
          <w:sz w:val="20"/>
        </w:rPr>
        <w:t>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r>
        <w:rPr>
          <w:b w:val="1"/>
          <w:sz w:val="20"/>
        </w:rPr>
        <w:t>prokuratura</w:t>
      </w:r>
      <w:r>
        <w:rPr>
          <w:b w:val="1"/>
          <w:sz w:val="20"/>
        </w:rPr>
        <w:t>-</w:t>
      </w:r>
      <w:r>
        <w:rPr>
          <w:b w:val="1"/>
          <w:sz w:val="20"/>
        </w:rPr>
        <w:t>sr</w:t>
      </w:r>
      <w:r>
        <w:rPr>
          <w:b w:val="1"/>
          <w:sz w:val="20"/>
        </w:rPr>
        <w:t>@</w:t>
      </w:r>
      <w:r>
        <w:rPr>
          <w:b w:val="1"/>
          <w:sz w:val="20"/>
        </w:rPr>
        <w:t>mail</w:t>
      </w:r>
      <w:r>
        <w:rPr>
          <w:b w:val="1"/>
          <w:sz w:val="20"/>
        </w:rPr>
        <w:t xml:space="preserve">.ru) или по каналам </w:t>
      </w:r>
      <w:r>
        <w:rPr>
          <w:b w:val="1"/>
          <w:sz w:val="20"/>
        </w:rPr>
        <w:t xml:space="preserve">телефонной </w:t>
      </w:r>
      <w:r>
        <w:rPr>
          <w:b w:val="1"/>
          <w:sz w:val="20"/>
        </w:rPr>
        <w:t>связи на тел. 8 (3462) 2199</w:t>
      </w:r>
      <w:r>
        <w:rPr>
          <w:b w:val="1"/>
          <w:sz w:val="20"/>
        </w:rPr>
        <w:t>95</w:t>
      </w:r>
    </w:p>
    <w:sectPr>
      <w:pgSz w:h="16838" w:orient="portrait" w:w="11906"/>
      <w:pgMar w:bottom="709" w:footer="709" w:gutter="0" w:header="709" w:left="1418" w:right="567" w:top="99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Balloon Text"/>
    <w:basedOn w:val="Style_2"/>
    <w:link w:val="Style_4_ch"/>
    <w:rPr>
      <w:rFonts w:ascii="Segoe UI" w:hAnsi="Segoe UI"/>
      <w:sz w:val="18"/>
    </w:rPr>
  </w:style>
  <w:style w:styleId="Style_4_ch" w:type="character">
    <w:name w:val="Balloon Text"/>
    <w:basedOn w:val="Style_2_ch"/>
    <w:link w:val="Style_4"/>
    <w:rPr>
      <w:rFonts w:ascii="Segoe UI" w:hAnsi="Segoe UI"/>
      <w:sz w:val="18"/>
    </w:rPr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basedOn w:val="Style_2"/>
    <w:next w:val="Style_2"/>
    <w:link w:val="Style_9_ch"/>
    <w:uiPriority w:val="9"/>
    <w:qFormat/>
    <w:pPr>
      <w:keepNext w:val="1"/>
      <w:keepLines w:val="1"/>
      <w:spacing w:before="200"/>
      <w:ind/>
      <w:outlineLvl w:val="2"/>
    </w:pPr>
    <w:rPr>
      <w:rFonts w:asciiTheme="majorAscii" w:hAnsiTheme="majorHAnsi"/>
      <w:b w:val="1"/>
      <w:color w:themeColor="accent1" w:val="4472C4"/>
    </w:rPr>
  </w:style>
  <w:style w:styleId="Style_9_ch" w:type="character">
    <w:name w:val="heading 3"/>
    <w:basedOn w:val="Style_2_ch"/>
    <w:link w:val="Style_9"/>
    <w:rPr>
      <w:rFonts w:asciiTheme="majorAscii" w:hAnsiTheme="majorHAnsi"/>
      <w:b w:val="1"/>
      <w:color w:themeColor="accent1" w:val="4472C4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Normal (Web)"/>
    <w:basedOn w:val="Style_2"/>
    <w:link w:val="Style_11_ch"/>
    <w:pPr>
      <w:spacing w:afterAutospacing="on" w:beforeAutospacing="on"/>
      <w:ind/>
    </w:pPr>
    <w:rPr>
      <w:sz w:val="24"/>
    </w:rPr>
  </w:style>
  <w:style w:styleId="Style_11_ch" w:type="character">
    <w:name w:val="Normal (Web)"/>
    <w:basedOn w:val="Style_2_ch"/>
    <w:link w:val="Style_11"/>
    <w:rPr>
      <w:sz w:val="24"/>
    </w:rPr>
  </w:style>
  <w:style w:styleId="Style_12" w:type="paragraph">
    <w:name w:val="toc 3"/>
    <w:next w:val="Style_2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basedOn w:val="Style_2"/>
    <w:next w:val="Style_2"/>
    <w:link w:val="Style_13_ch"/>
    <w:uiPriority w:val="9"/>
    <w:qFormat/>
    <w:pPr>
      <w:keepNext w:val="1"/>
      <w:keepLines w:val="1"/>
      <w:spacing w:before="200"/>
      <w:ind/>
      <w:outlineLvl w:val="4"/>
    </w:pPr>
    <w:rPr>
      <w:rFonts w:asciiTheme="majorAscii" w:hAnsiTheme="majorHAnsi"/>
      <w:color w:themeColor="accent1" w:themeShade="7F" w:val="203864"/>
    </w:rPr>
  </w:style>
  <w:style w:styleId="Style_13_ch" w:type="character">
    <w:name w:val="heading 5"/>
    <w:basedOn w:val="Style_2_ch"/>
    <w:link w:val="Style_13"/>
    <w:rPr>
      <w:rFonts w:asciiTheme="majorAscii" w:hAnsiTheme="majorHAnsi"/>
      <w:color w:themeColor="accent1" w:themeShade="7F" w:val="203864"/>
    </w:rPr>
  </w:style>
  <w:style w:styleId="Style_14" w:type="paragraph">
    <w:name w:val="heading 1"/>
    <w:basedOn w:val="Style_2"/>
    <w:next w:val="Style_2"/>
    <w:link w:val="Style_14_ch"/>
    <w:uiPriority w:val="9"/>
    <w:qFormat/>
    <w:pPr>
      <w:keepNext w:val="1"/>
      <w:keepLines w:val="1"/>
      <w:spacing w:before="480"/>
      <w:ind/>
      <w:outlineLvl w:val="0"/>
    </w:pPr>
    <w:rPr>
      <w:rFonts w:asciiTheme="majorAscii" w:hAnsiTheme="majorHAnsi"/>
      <w:b w:val="1"/>
      <w:color w:themeColor="accent1" w:themeShade="BF" w:val="2F5496"/>
    </w:rPr>
  </w:style>
  <w:style w:styleId="Style_14_ch" w:type="character">
    <w:name w:val="heading 1"/>
    <w:basedOn w:val="Style_2_ch"/>
    <w:link w:val="Style_14"/>
    <w:rPr>
      <w:rFonts w:asciiTheme="majorAscii" w:hAnsiTheme="majorHAnsi"/>
      <w:b w:val="1"/>
      <w:color w:themeColor="accent1" w:themeShade="BF" w:val="2F5496"/>
    </w:rPr>
  </w:style>
  <w:style w:styleId="Style_15" w:type="paragraph">
    <w:name w:val="Hyperlink"/>
    <w:basedOn w:val="Style_10"/>
    <w:link w:val="Style_15_ch"/>
    <w:rPr>
      <w:color w:themeColor="hyperlink" w:val="0563C1"/>
      <w:u w:val="single"/>
    </w:rPr>
  </w:style>
  <w:style w:styleId="Style_15_ch" w:type="character">
    <w:name w:val="Hyperlink"/>
    <w:basedOn w:val="Style_10_ch"/>
    <w:link w:val="Style_15"/>
    <w:rPr>
      <w:color w:themeColor="hyperlink" w:val="0563C1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2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No Spacing"/>
    <w:link w:val="Style_20_ch"/>
    <w:pPr>
      <w:spacing w:after="0" w:line="240" w:lineRule="auto"/>
      <w:ind/>
    </w:pPr>
    <w:rPr>
      <w:rFonts w:ascii="Calibri" w:hAnsi="Calibri"/>
    </w:rPr>
  </w:style>
  <w:style w:styleId="Style_20_ch" w:type="character">
    <w:name w:val="No Spacing"/>
    <w:link w:val="Style_20"/>
    <w:rPr>
      <w:rFonts w:ascii="Calibri" w:hAnsi="Calibri"/>
    </w:rPr>
  </w:style>
  <w:style w:styleId="Style_21" w:type="paragraph">
    <w:name w:val="toc 8"/>
    <w:next w:val="Style_2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footer"/>
    <w:basedOn w:val="Style_2"/>
    <w:link w:val="Style_22_ch"/>
    <w:pPr>
      <w:tabs>
        <w:tab w:leader="none" w:pos="4677" w:val="center"/>
        <w:tab w:leader="none" w:pos="9355" w:val="right"/>
      </w:tabs>
      <w:ind/>
    </w:pPr>
  </w:style>
  <w:style w:styleId="Style_22_ch" w:type="character">
    <w:name w:val="footer"/>
    <w:basedOn w:val="Style_2_ch"/>
    <w:link w:val="Style_22"/>
  </w:style>
  <w:style w:styleId="Style_23" w:type="paragraph">
    <w:name w:val="toc 5"/>
    <w:next w:val="Style_2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header"/>
    <w:basedOn w:val="Style_2"/>
    <w:link w:val="Style_24_ch"/>
    <w:pPr>
      <w:tabs>
        <w:tab w:leader="none" w:pos="4677" w:val="center"/>
        <w:tab w:leader="none" w:pos="9355" w:val="right"/>
      </w:tabs>
      <w:ind/>
    </w:pPr>
  </w:style>
  <w:style w:styleId="Style_24_ch" w:type="character">
    <w:name w:val="header"/>
    <w:basedOn w:val="Style_2_ch"/>
    <w:link w:val="Style_24"/>
  </w:style>
  <w:style w:styleId="Style_25" w:type="paragraph">
    <w:name w:val="Subtitle"/>
    <w:next w:val="Style_2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2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2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basedOn w:val="Style_2"/>
    <w:next w:val="Style_2"/>
    <w:link w:val="Style_28_ch"/>
    <w:uiPriority w:val="9"/>
    <w:qFormat/>
    <w:pPr>
      <w:keepNext w:val="1"/>
      <w:keepLines w:val="1"/>
      <w:spacing w:before="200"/>
      <w:ind/>
      <w:outlineLvl w:val="1"/>
    </w:pPr>
    <w:rPr>
      <w:rFonts w:asciiTheme="majorAscii" w:hAnsiTheme="majorHAnsi"/>
      <w:b w:val="1"/>
      <w:color w:themeColor="accent1" w:val="4472C4"/>
      <w:sz w:val="26"/>
    </w:rPr>
  </w:style>
  <w:style w:styleId="Style_28_ch" w:type="character">
    <w:name w:val="heading 2"/>
    <w:basedOn w:val="Style_2_ch"/>
    <w:link w:val="Style_28"/>
    <w:rPr>
      <w:rFonts w:asciiTheme="majorAscii" w:hAnsiTheme="majorHAnsi"/>
      <w:b w:val="1"/>
      <w:color w:themeColor="accent1" w:val="4472C4"/>
      <w:sz w:val="26"/>
    </w:rPr>
  </w:style>
  <w:style w:styleId="Style_29" w:type="paragraph">
    <w:name w:val="Body Text Indent"/>
    <w:basedOn w:val="Style_2"/>
    <w:link w:val="Style_29_ch"/>
    <w:pPr>
      <w:ind w:firstLine="709" w:left="0"/>
      <w:jc w:val="both"/>
    </w:pPr>
  </w:style>
  <w:style w:styleId="Style_29_ch" w:type="character">
    <w:name w:val="Body Text Indent"/>
    <w:basedOn w:val="Style_2_ch"/>
    <w:link w:val="Style_29"/>
  </w:style>
  <w:style w:styleId="Style_1" w:type="table">
    <w:name w:val="Table Grid"/>
    <w:basedOn w:val="Style_30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2026-09-24T09:27:13Z</dcterms:modified>
</cp:coreProperties>
</file>