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ind/>
        <w:contextualSpacing w:val="1"/>
        <w:jc w:val="right"/>
      </w:pPr>
      <w:r>
        <w:t>04 сентября</w:t>
      </w:r>
      <w:r>
        <w:t xml:space="preserve"> </w:t>
      </w:r>
      <w:r>
        <w:t>20</w:t>
      </w:r>
      <w:r>
        <w:t>26</w:t>
      </w:r>
      <w:r>
        <w:t xml:space="preserve"> года</w:t>
      </w:r>
      <w:r>
        <w:t xml:space="preserve"> </w:t>
      </w:r>
    </w:p>
    <w:p w14:paraId="02000000">
      <w:pPr>
        <w:ind/>
        <w:contextualSpacing w:val="1"/>
        <w:jc w:val="center"/>
        <w:rPr>
          <w:sz w:val="10"/>
        </w:rPr>
      </w:pPr>
    </w:p>
    <w:tbl>
      <w:tblPr>
        <w:tblStyle w:val="Style_1"/>
        <w:tblW w:type="auto" w:w="0"/>
        <w:tblInd w:type="dxa" w:w="108"/>
        <w:tblBorders>
          <w:left w:color="000000" w:sz="4" w:val="nil"/>
          <w:right w:color="000000" w:sz="4" w:val="nil"/>
          <w:insideH w:color="000000" w:sz="4" w:val="nil"/>
          <w:insideV w:color="000000" w:sz="4" w:val="nil"/>
        </w:tblBorders>
        <w:tblLayout w:type="fixed"/>
      </w:tblPr>
      <w:tblGrid>
        <w:gridCol w:w="9922"/>
      </w:tblGrid>
      <w:tr>
        <w:tc>
          <w:tcPr>
            <w:tcW w:type="dxa" w:w="9922"/>
            <w:tcBorders>
              <w:top w:color="000000" w:sz="18" w:val="single"/>
              <w:left w:color="000000" w:sz="4" w:val="nil"/>
              <w:bottom w:color="000000" w:sz="18" w:val="single"/>
              <w:right w:color="000000" w:sz="4" w:val="nil"/>
            </w:tcBorders>
          </w:tcPr>
          <w:p w14:paraId="03000000">
            <w:pPr>
              <w:ind/>
              <w:contextualSpacing w:val="1"/>
              <w:jc w:val="center"/>
              <w:rPr>
                <w:spacing w:val="-4"/>
                <w:sz w:val="20"/>
              </w:rPr>
            </w:pPr>
          </w:p>
          <w:p w14:paraId="04000000">
            <w:pPr>
              <w:ind/>
              <w:contextualSpacing w:val="1"/>
              <w:jc w:val="center"/>
              <w:rPr>
                <w:b w:val="1"/>
                <w:spacing w:val="8"/>
              </w:rPr>
            </w:pPr>
            <w:r>
              <w:rPr>
                <w:b w:val="1"/>
                <w:spacing w:val="-4"/>
                <w:sz w:val="56"/>
              </w:rPr>
              <w:t>П Р О К У Р А Т У Р А</w:t>
            </w:r>
          </w:p>
          <w:p w14:paraId="05000000">
            <w:pPr>
              <w:ind/>
              <w:contextualSpacing w:val="1"/>
              <w:jc w:val="center"/>
              <w:rPr>
                <w:b w:val="1"/>
                <w:spacing w:val="8"/>
              </w:rPr>
            </w:pPr>
            <w:r>
              <w:rPr>
                <w:b w:val="1"/>
                <w:spacing w:val="8"/>
              </w:rPr>
              <w:t>Сургутского района</w:t>
            </w:r>
          </w:p>
          <w:p w14:paraId="06000000">
            <w:pPr>
              <w:ind/>
              <w:contextualSpacing w:val="1"/>
              <w:jc w:val="center"/>
              <w:rPr>
                <w:sz w:val="20"/>
              </w:rPr>
            </w:pPr>
          </w:p>
        </w:tc>
      </w:tr>
    </w:tbl>
    <w:p w14:paraId="07000000">
      <w:pPr>
        <w:ind/>
        <w:contextualSpacing w:val="1"/>
        <w:rPr>
          <w:b w:val="1"/>
          <w:sz w:val="20"/>
          <w:u w:val="single"/>
        </w:rPr>
      </w:pPr>
    </w:p>
    <w:p w14:paraId="08000000">
      <w:pPr>
        <w:ind/>
        <w:contextualSpacing w:val="1"/>
        <w:rPr>
          <w:sz w:val="30"/>
        </w:rPr>
      </w:pPr>
      <w:r>
        <w:rPr>
          <w:b w:val="1"/>
          <w:u w:val="single"/>
        </w:rPr>
        <w:t>Разъяснение</w:t>
      </w:r>
    </w:p>
    <w:p w14:paraId="09000000">
      <w:pPr>
        <w:ind/>
        <w:contextualSpacing w:val="1"/>
        <w:jc w:val="both"/>
      </w:pPr>
    </w:p>
    <w:p w14:paraId="0A000000">
      <w:pPr>
        <w:ind w:firstLine="0" w:left="0"/>
        <w:jc w:val="center"/>
        <w:rPr>
          <w:b w:val="0"/>
        </w:rPr>
      </w:pPr>
      <w:r>
        <w:rPr>
          <w:b w:val="1"/>
          <w:color w:val="000000"/>
          <w:sz w:val="28"/>
          <w:u w:val="none"/>
        </w:rPr>
        <w:t>«</w:t>
      </w:r>
      <w:r>
        <w:rPr>
          <w:b w:val="1"/>
        </w:rPr>
        <w:t>Минстрой России рассмотрел вопрос о дате начала и окончания отопительного периода</w:t>
      </w:r>
      <w:r>
        <w:rPr>
          <w:b w:val="1"/>
          <w:color w:val="000000"/>
        </w:rPr>
        <w:t>»</w:t>
      </w:r>
    </w:p>
    <w:p w14:paraId="0B000000">
      <w:pPr>
        <w:spacing w:before="0" w:line="240" w:lineRule="auto"/>
        <w:ind w:firstLine="709" w:left="0"/>
        <w:jc w:val="center"/>
        <w:rPr>
          <w:b w:val="0"/>
        </w:rPr>
      </w:pPr>
    </w:p>
    <w:p w14:paraId="0C000000">
      <w:pPr>
        <w:spacing w:after="0" w:before="0"/>
        <w:ind w:firstLine="709" w:left="0" w:right="0"/>
        <w:jc w:val="both"/>
        <w:rPr>
          <w:b w:val="0"/>
        </w:rPr>
      </w:pPr>
      <w:r>
        <w:rPr>
          <w:b w:val="0"/>
        </w:rPr>
        <w:t>Отмечается, что Правила предоставления коммунальных услуг собственникам и пользователям помещений в многоквартирных домах и жилых домов императивно обязывают начать отопительный период не позднее даты, определенной в соответствии с пунктом 5 данных Правил, и не завершать его ранее даты, определенной в соответствии с этим же положением.</w:t>
      </w:r>
    </w:p>
    <w:p w14:paraId="0D000000">
      <w:pPr>
        <w:spacing w:after="0" w:before="0"/>
        <w:ind w:firstLine="709" w:left="0" w:right="0"/>
        <w:jc w:val="both"/>
        <w:rPr>
          <w:b w:val="0"/>
        </w:rPr>
      </w:pPr>
      <w:r>
        <w:rPr>
          <w:b w:val="0"/>
        </w:rPr>
        <w:t>При этом с учетом климатических условий конкретного муниципального образования уполномоченный орган местного самоуправления вправе установить более раннюю дату начала и более позднюю дату окончания отопительного периода, если такое решение направлено на защиту прав населения.</w:t>
      </w:r>
    </w:p>
    <w:p w14:paraId="0E000000">
      <w:pPr>
        <w:spacing w:after="0" w:before="0" w:line="240" w:lineRule="auto"/>
        <w:ind w:firstLine="709" w:left="0" w:right="0"/>
        <w:jc w:val="both"/>
        <w:rPr>
          <w:b w:val="0"/>
        </w:rPr>
      </w:pPr>
    </w:p>
    <w:p w14:paraId="0F000000">
      <w:pPr>
        <w:spacing w:line="240" w:lineRule="exact"/>
        <w:ind w:firstLine="0" w:left="-709"/>
        <w:jc w:val="both"/>
        <w:rPr>
          <w:b w:val="1"/>
          <w:color w:val="333333"/>
        </w:rPr>
      </w:pPr>
    </w:p>
    <w:p w14:paraId="10000000">
      <w:pPr>
        <w:spacing w:line="240" w:lineRule="exact"/>
        <w:ind w:right="-2"/>
        <w:contextualSpacing w:val="1"/>
        <w:jc w:val="both"/>
      </w:pPr>
      <w:r>
        <w:t>П</w:t>
      </w:r>
      <w:r>
        <w:t xml:space="preserve">рокурор </w:t>
      </w:r>
      <w:r>
        <w:t>района</w:t>
      </w:r>
      <w:r>
        <w:tab/>
      </w:r>
      <w:r>
        <w:tab/>
      </w:r>
      <w:r>
        <w:tab/>
      </w:r>
      <w:r>
        <w:tab/>
      </w:r>
      <w:r>
        <w:t xml:space="preserve">                  </w:t>
      </w:r>
      <w:r>
        <w:t xml:space="preserve">    </w:t>
      </w:r>
      <w:r>
        <w:t xml:space="preserve">                  </w:t>
      </w:r>
      <w:r>
        <w:t xml:space="preserve">  </w:t>
      </w:r>
      <w:r>
        <w:t xml:space="preserve"> </w:t>
      </w:r>
      <w:r>
        <w:t xml:space="preserve">       </w:t>
      </w:r>
      <w:r>
        <w:t xml:space="preserve"> </w:t>
      </w:r>
      <w:r>
        <w:t>М.Ш. Мавлютов</w:t>
      </w:r>
    </w:p>
    <w:p w14:paraId="11000000">
      <w:pPr>
        <w:ind w:right="-2"/>
        <w:contextualSpacing w:val="1"/>
        <w:jc w:val="both"/>
        <w:rPr>
          <w:b w:val="1"/>
          <w:sz w:val="20"/>
        </w:rPr>
      </w:pPr>
    </w:p>
    <w:p w14:paraId="12000000">
      <w:pPr>
        <w:ind w:right="-2"/>
        <w:contextualSpacing w:val="1"/>
        <w:jc w:val="both"/>
        <w:rPr>
          <w:b w:val="1"/>
          <w:sz w:val="20"/>
        </w:rPr>
      </w:pPr>
    </w:p>
    <w:p w14:paraId="13000000">
      <w:pPr>
        <w:ind w:right="-2"/>
        <w:contextualSpacing w:val="1"/>
        <w:jc w:val="both"/>
        <w:rPr>
          <w:b w:val="1"/>
          <w:sz w:val="20"/>
        </w:rPr>
      </w:pPr>
    </w:p>
    <w:p w14:paraId="14000000">
      <w:pPr>
        <w:ind w:right="-2"/>
        <w:contextualSpacing w:val="1"/>
        <w:jc w:val="both"/>
      </w:pPr>
    </w:p>
    <w:p w14:paraId="15000000">
      <w:pPr>
        <w:ind w:right="-2"/>
        <w:contextualSpacing w:val="1"/>
        <w:jc w:val="both"/>
      </w:pPr>
    </w:p>
    <w:p w14:paraId="16000000">
      <w:pPr>
        <w:ind w:right="-2"/>
        <w:contextualSpacing w:val="1"/>
        <w:jc w:val="both"/>
      </w:pPr>
    </w:p>
    <w:p w14:paraId="17000000">
      <w:pPr>
        <w:ind w:right="-2"/>
        <w:contextualSpacing w:val="1"/>
        <w:jc w:val="both"/>
      </w:pPr>
    </w:p>
    <w:p w14:paraId="18000000">
      <w:pPr>
        <w:ind w:right="-2"/>
        <w:contextualSpacing w:val="1"/>
        <w:jc w:val="both"/>
      </w:pPr>
    </w:p>
    <w:p w14:paraId="19000000">
      <w:pPr>
        <w:ind w:right="-2"/>
        <w:contextualSpacing w:val="1"/>
        <w:jc w:val="both"/>
      </w:pPr>
    </w:p>
    <w:p w14:paraId="1A000000">
      <w:pPr>
        <w:ind w:right="-2"/>
        <w:contextualSpacing w:val="1"/>
        <w:jc w:val="both"/>
      </w:pPr>
    </w:p>
    <w:p w14:paraId="1B000000">
      <w:pPr>
        <w:ind w:right="-2"/>
        <w:contextualSpacing w:val="1"/>
        <w:jc w:val="both"/>
      </w:pPr>
    </w:p>
    <w:p w14:paraId="1C000000">
      <w:pPr>
        <w:ind w:right="-2"/>
        <w:contextualSpacing w:val="1"/>
        <w:jc w:val="both"/>
      </w:pPr>
    </w:p>
    <w:p w14:paraId="1D000000">
      <w:pPr>
        <w:ind w:right="-2"/>
        <w:contextualSpacing w:val="1"/>
        <w:jc w:val="both"/>
      </w:pPr>
    </w:p>
    <w:p w14:paraId="1E000000">
      <w:pPr>
        <w:ind w:right="-2"/>
        <w:contextualSpacing w:val="1"/>
        <w:jc w:val="both"/>
      </w:pPr>
    </w:p>
    <w:p w14:paraId="1F000000">
      <w:pPr>
        <w:ind w:right="-2"/>
        <w:contextualSpacing w:val="1"/>
        <w:jc w:val="both"/>
      </w:pPr>
    </w:p>
    <w:p w14:paraId="20000000">
      <w:pPr>
        <w:ind w:right="-2"/>
        <w:contextualSpacing w:val="1"/>
        <w:jc w:val="both"/>
      </w:pPr>
    </w:p>
    <w:p w14:paraId="21000000">
      <w:pPr>
        <w:ind w:right="-2"/>
        <w:contextualSpacing w:val="1"/>
        <w:jc w:val="both"/>
      </w:pPr>
    </w:p>
    <w:p w14:paraId="22000000">
      <w:pPr>
        <w:ind w:right="-2"/>
        <w:contextualSpacing w:val="1"/>
        <w:jc w:val="both"/>
      </w:pPr>
    </w:p>
    <w:p w14:paraId="23000000">
      <w:pPr>
        <w:ind w:right="-2"/>
        <w:contextualSpacing w:val="1"/>
        <w:jc w:val="both"/>
      </w:pPr>
    </w:p>
    <w:p w14:paraId="24000000">
      <w:pPr>
        <w:ind w:right="-2"/>
        <w:contextualSpacing w:val="1"/>
        <w:jc w:val="both"/>
      </w:pPr>
    </w:p>
    <w:p w14:paraId="25000000">
      <w:pPr>
        <w:ind w:right="-2"/>
        <w:contextualSpacing w:val="1"/>
        <w:jc w:val="both"/>
      </w:pPr>
    </w:p>
    <w:p w14:paraId="26000000">
      <w:pPr>
        <w:ind w:right="-2"/>
        <w:contextualSpacing w:val="1"/>
        <w:jc w:val="both"/>
      </w:pPr>
    </w:p>
    <w:p w14:paraId="27000000">
      <w:pPr>
        <w:ind w:right="-2"/>
        <w:contextualSpacing w:val="1"/>
        <w:jc w:val="both"/>
      </w:pPr>
      <w:r>
        <w:rPr>
          <w:b w:val="1"/>
          <w:sz w:val="20"/>
        </w:rPr>
        <w:t>П</w:t>
      </w:r>
      <w:r>
        <w:rPr>
          <w:b w:val="1"/>
          <w:sz w:val="20"/>
        </w:rPr>
        <w:t>ри использовании указанной информации ссылка на прокуратуру района является обязательной. При освещении информации в теле-, радиоэфирах необходимо направлять эфирные справки (количество эфиров с учетом повторов) на адрес электронной почты (</w:t>
      </w:r>
      <w:r>
        <w:rPr>
          <w:b w:val="1"/>
          <w:sz w:val="20"/>
        </w:rPr>
        <w:t>prokuratura</w:t>
      </w:r>
      <w:r>
        <w:rPr>
          <w:b w:val="1"/>
          <w:sz w:val="20"/>
        </w:rPr>
        <w:t>-</w:t>
      </w:r>
      <w:r>
        <w:rPr>
          <w:b w:val="1"/>
          <w:sz w:val="20"/>
        </w:rPr>
        <w:t>sr</w:t>
      </w:r>
      <w:r>
        <w:rPr>
          <w:b w:val="1"/>
          <w:sz w:val="20"/>
        </w:rPr>
        <w:t>@</w:t>
      </w:r>
      <w:r>
        <w:rPr>
          <w:b w:val="1"/>
          <w:sz w:val="20"/>
        </w:rPr>
        <w:t>mail</w:t>
      </w:r>
      <w:r>
        <w:rPr>
          <w:b w:val="1"/>
          <w:sz w:val="20"/>
        </w:rPr>
        <w:t xml:space="preserve">.ru) или по каналам </w:t>
      </w:r>
      <w:r>
        <w:rPr>
          <w:b w:val="1"/>
          <w:sz w:val="20"/>
        </w:rPr>
        <w:t xml:space="preserve">телефонной </w:t>
      </w:r>
      <w:r>
        <w:rPr>
          <w:b w:val="1"/>
          <w:sz w:val="20"/>
        </w:rPr>
        <w:t>связи на тел. 8 (3462) 2199</w:t>
      </w:r>
      <w:r>
        <w:rPr>
          <w:b w:val="1"/>
          <w:sz w:val="20"/>
        </w:rPr>
        <w:t>95</w:t>
      </w:r>
    </w:p>
    <w:sectPr>
      <w:pgSz w:h="16838" w:orient="portrait" w:w="11906"/>
      <w:pgMar w:bottom="709" w:footer="709" w:gutter="0" w:header="709" w:left="1418" w:right="567" w:top="993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  <w:pPr>
      <w:spacing w:after="0" w:line="240" w:lineRule="auto"/>
      <w:ind/>
    </w:pPr>
    <w:rPr>
      <w:rFonts w:ascii="Times New Roman" w:hAnsi="Times New Roman"/>
      <w:sz w:val="28"/>
    </w:rPr>
  </w:style>
  <w:style w:default="1" w:styleId="Style_2_ch" w:type="character">
    <w:name w:val="Normal"/>
    <w:link w:val="Style_2"/>
    <w:rPr>
      <w:rFonts w:ascii="Times New Roman" w:hAnsi="Times New Roman"/>
      <w:sz w:val="28"/>
    </w:rPr>
  </w:style>
  <w:style w:styleId="Style_3" w:type="paragraph">
    <w:name w:val="toc 2"/>
    <w:next w:val="Style_2"/>
    <w:link w:val="Style_3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2"/>
    <w:link w:val="Style_4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2"/>
    <w:link w:val="Style_5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2"/>
    <w:link w:val="Style_6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Endnote"/>
    <w:link w:val="Style_7_ch"/>
    <w:pPr>
      <w:ind w:firstLine="851" w:left="0"/>
      <w:jc w:val="both"/>
    </w:pPr>
    <w:rPr>
      <w:rFonts w:ascii="XO Thames" w:hAnsi="XO Thames"/>
      <w:sz w:val="22"/>
    </w:rPr>
  </w:style>
  <w:style w:styleId="Style_7_ch" w:type="character">
    <w:name w:val="Endnote"/>
    <w:link w:val="Style_7"/>
    <w:rPr>
      <w:rFonts w:ascii="XO Thames" w:hAnsi="XO Thames"/>
      <w:sz w:val="22"/>
    </w:rPr>
  </w:style>
  <w:style w:styleId="Style_8" w:type="paragraph">
    <w:name w:val="heading 3"/>
    <w:basedOn w:val="Style_2"/>
    <w:next w:val="Style_2"/>
    <w:link w:val="Style_8_ch"/>
    <w:uiPriority w:val="9"/>
    <w:qFormat/>
    <w:pPr>
      <w:keepNext w:val="1"/>
      <w:keepLines w:val="1"/>
      <w:spacing w:before="200"/>
      <w:ind/>
      <w:outlineLvl w:val="2"/>
    </w:pPr>
    <w:rPr>
      <w:rFonts w:asciiTheme="majorAscii" w:hAnsiTheme="majorHAnsi"/>
      <w:b w:val="1"/>
      <w:color w:themeColor="accent1" w:val="4472C4"/>
    </w:rPr>
  </w:style>
  <w:style w:styleId="Style_8_ch" w:type="character">
    <w:name w:val="heading 3"/>
    <w:basedOn w:val="Style_2_ch"/>
    <w:link w:val="Style_8"/>
    <w:rPr>
      <w:rFonts w:asciiTheme="majorAscii" w:hAnsiTheme="majorHAnsi"/>
      <w:b w:val="1"/>
      <w:color w:themeColor="accent1" w:val="4472C4"/>
    </w:rPr>
  </w:style>
  <w:style w:styleId="Style_9" w:type="paragraph">
    <w:name w:val="footer"/>
    <w:basedOn w:val="Style_2"/>
    <w:link w:val="Style_9_ch"/>
    <w:pPr>
      <w:tabs>
        <w:tab w:leader="none" w:pos="4677" w:val="center"/>
        <w:tab w:leader="none" w:pos="9355" w:val="right"/>
      </w:tabs>
      <w:ind/>
    </w:pPr>
  </w:style>
  <w:style w:styleId="Style_9_ch" w:type="character">
    <w:name w:val="footer"/>
    <w:basedOn w:val="Style_2_ch"/>
    <w:link w:val="Style_9"/>
  </w:style>
  <w:style w:styleId="Style_10" w:type="paragraph">
    <w:name w:val="No Spacing"/>
    <w:link w:val="Style_10_ch"/>
    <w:pPr>
      <w:spacing w:after="0" w:line="240" w:lineRule="auto"/>
      <w:ind/>
    </w:pPr>
    <w:rPr>
      <w:rFonts w:ascii="Calibri" w:hAnsi="Calibri"/>
    </w:rPr>
  </w:style>
  <w:style w:styleId="Style_10_ch" w:type="character">
    <w:name w:val="No Spacing"/>
    <w:link w:val="Style_10"/>
    <w:rPr>
      <w:rFonts w:ascii="Calibri" w:hAnsi="Calibri"/>
    </w:rPr>
  </w:style>
  <w:style w:styleId="Style_11" w:type="paragraph">
    <w:name w:val="toc 3"/>
    <w:next w:val="Style_2"/>
    <w:link w:val="Style_11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1_ch" w:type="character">
    <w:name w:val="toc 3"/>
    <w:link w:val="Style_11"/>
    <w:rPr>
      <w:rFonts w:ascii="XO Thames" w:hAnsi="XO Thames"/>
      <w:sz w:val="28"/>
    </w:rPr>
  </w:style>
  <w:style w:styleId="Style_12" w:type="paragraph">
    <w:name w:val="heading 5"/>
    <w:basedOn w:val="Style_2"/>
    <w:next w:val="Style_2"/>
    <w:link w:val="Style_12_ch"/>
    <w:uiPriority w:val="9"/>
    <w:qFormat/>
    <w:pPr>
      <w:keepNext w:val="1"/>
      <w:keepLines w:val="1"/>
      <w:spacing w:before="200"/>
      <w:ind/>
      <w:outlineLvl w:val="4"/>
    </w:pPr>
    <w:rPr>
      <w:rFonts w:asciiTheme="majorAscii" w:hAnsiTheme="majorHAnsi"/>
      <w:color w:themeColor="accent1" w:themeShade="7F" w:val="203864"/>
    </w:rPr>
  </w:style>
  <w:style w:styleId="Style_12_ch" w:type="character">
    <w:name w:val="heading 5"/>
    <w:basedOn w:val="Style_2_ch"/>
    <w:link w:val="Style_12"/>
    <w:rPr>
      <w:rFonts w:asciiTheme="majorAscii" w:hAnsiTheme="majorHAnsi"/>
      <w:color w:themeColor="accent1" w:themeShade="7F" w:val="203864"/>
    </w:rPr>
  </w:style>
  <w:style w:styleId="Style_13" w:type="paragraph">
    <w:name w:val="heading 1"/>
    <w:basedOn w:val="Style_2"/>
    <w:next w:val="Style_2"/>
    <w:link w:val="Style_13_ch"/>
    <w:uiPriority w:val="9"/>
    <w:qFormat/>
    <w:pPr>
      <w:keepNext w:val="1"/>
      <w:keepLines w:val="1"/>
      <w:spacing w:before="480"/>
      <w:ind/>
      <w:outlineLvl w:val="0"/>
    </w:pPr>
    <w:rPr>
      <w:rFonts w:asciiTheme="majorAscii" w:hAnsiTheme="majorHAnsi"/>
      <w:b w:val="1"/>
      <w:color w:themeColor="accent1" w:themeShade="BF" w:val="2F5496"/>
    </w:rPr>
  </w:style>
  <w:style w:styleId="Style_13_ch" w:type="character">
    <w:name w:val="heading 1"/>
    <w:basedOn w:val="Style_2_ch"/>
    <w:link w:val="Style_13"/>
    <w:rPr>
      <w:rFonts w:asciiTheme="majorAscii" w:hAnsiTheme="majorHAnsi"/>
      <w:b w:val="1"/>
      <w:color w:themeColor="accent1" w:themeShade="BF" w:val="2F5496"/>
    </w:rPr>
  </w:style>
  <w:style w:styleId="Style_14" w:type="paragraph">
    <w:name w:val="Body Text Indent"/>
    <w:basedOn w:val="Style_2"/>
    <w:link w:val="Style_14_ch"/>
    <w:pPr>
      <w:ind w:firstLine="709" w:left="0"/>
      <w:jc w:val="both"/>
    </w:pPr>
  </w:style>
  <w:style w:styleId="Style_14_ch" w:type="character">
    <w:name w:val="Body Text Indent"/>
    <w:basedOn w:val="Style_2_ch"/>
    <w:link w:val="Style_14"/>
  </w:style>
  <w:style w:styleId="Style_15" w:type="paragraph">
    <w:name w:val="Hyperlink"/>
    <w:basedOn w:val="Style_16"/>
    <w:link w:val="Style_15_ch"/>
    <w:rPr>
      <w:color w:themeColor="hyperlink" w:val="0563C1"/>
      <w:u w:val="single"/>
    </w:rPr>
  </w:style>
  <w:style w:styleId="Style_15_ch" w:type="character">
    <w:name w:val="Hyperlink"/>
    <w:basedOn w:val="Style_16_ch"/>
    <w:link w:val="Style_15"/>
    <w:rPr>
      <w:color w:themeColor="hyperlink" w:val="0563C1"/>
      <w:u w:val="single"/>
    </w:rPr>
  </w:style>
  <w:style w:styleId="Style_17" w:type="paragraph">
    <w:name w:val="Footnote"/>
    <w:link w:val="Style_17_ch"/>
    <w:pPr>
      <w:ind w:firstLine="851" w:left="0"/>
      <w:jc w:val="both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toc 1"/>
    <w:next w:val="Style_2"/>
    <w:link w:val="Style_18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8_ch" w:type="character">
    <w:name w:val="toc 1"/>
    <w:link w:val="Style_18"/>
    <w:rPr>
      <w:rFonts w:ascii="XO Thames" w:hAnsi="XO Thames"/>
      <w:b w:val="1"/>
      <w:sz w:val="28"/>
    </w:rPr>
  </w:style>
  <w:style w:styleId="Style_19" w:type="paragraph">
    <w:name w:val="Header and Footer"/>
    <w:link w:val="Style_19_ch"/>
    <w:pPr>
      <w:spacing w:line="240" w:lineRule="auto"/>
      <w:ind/>
      <w:jc w:val="both"/>
    </w:pPr>
    <w:rPr>
      <w:rFonts w:ascii="XO Thames" w:hAnsi="XO Thames"/>
      <w:sz w:val="28"/>
    </w:rPr>
  </w:style>
  <w:style w:styleId="Style_19_ch" w:type="character">
    <w:name w:val="Header and Footer"/>
    <w:link w:val="Style_19"/>
    <w:rPr>
      <w:rFonts w:ascii="XO Thames" w:hAnsi="XO Thames"/>
      <w:sz w:val="28"/>
    </w:rPr>
  </w:style>
  <w:style w:styleId="Style_20" w:type="paragraph">
    <w:name w:val="toc 9"/>
    <w:next w:val="Style_2"/>
    <w:link w:val="Style_20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0_ch" w:type="character">
    <w:name w:val="toc 9"/>
    <w:link w:val="Style_20"/>
    <w:rPr>
      <w:rFonts w:ascii="XO Thames" w:hAnsi="XO Thames"/>
      <w:sz w:val="28"/>
    </w:rPr>
  </w:style>
  <w:style w:styleId="Style_21" w:type="paragraph">
    <w:name w:val="Balloon Text"/>
    <w:basedOn w:val="Style_2"/>
    <w:link w:val="Style_21_ch"/>
    <w:rPr>
      <w:rFonts w:ascii="Segoe UI" w:hAnsi="Segoe UI"/>
      <w:sz w:val="18"/>
    </w:rPr>
  </w:style>
  <w:style w:styleId="Style_21_ch" w:type="character">
    <w:name w:val="Balloon Text"/>
    <w:basedOn w:val="Style_2_ch"/>
    <w:link w:val="Style_21"/>
    <w:rPr>
      <w:rFonts w:ascii="Segoe UI" w:hAnsi="Segoe UI"/>
      <w:sz w:val="18"/>
    </w:rPr>
  </w:style>
  <w:style w:styleId="Style_22" w:type="paragraph">
    <w:name w:val="toc 8"/>
    <w:next w:val="Style_2"/>
    <w:link w:val="Style_22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2_ch" w:type="character">
    <w:name w:val="toc 8"/>
    <w:link w:val="Style_22"/>
    <w:rPr>
      <w:rFonts w:ascii="XO Thames" w:hAnsi="XO Thames"/>
      <w:sz w:val="28"/>
    </w:rPr>
  </w:style>
  <w:style w:styleId="Style_23" w:type="paragraph">
    <w:name w:val="toc 5"/>
    <w:next w:val="Style_2"/>
    <w:link w:val="Style_23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3_ch" w:type="character">
    <w:name w:val="toc 5"/>
    <w:link w:val="Style_23"/>
    <w:rPr>
      <w:rFonts w:ascii="XO Thames" w:hAnsi="XO Thames"/>
      <w:sz w:val="28"/>
    </w:rPr>
  </w:style>
  <w:style w:styleId="Style_24" w:type="paragraph">
    <w:name w:val="Normal (Web)"/>
    <w:basedOn w:val="Style_2"/>
    <w:link w:val="Style_24_ch"/>
    <w:pPr>
      <w:spacing w:afterAutospacing="on" w:beforeAutospacing="on"/>
      <w:ind/>
    </w:pPr>
    <w:rPr>
      <w:sz w:val="24"/>
    </w:rPr>
  </w:style>
  <w:style w:styleId="Style_24_ch" w:type="character">
    <w:name w:val="Normal (Web)"/>
    <w:basedOn w:val="Style_2_ch"/>
    <w:link w:val="Style_24"/>
    <w:rPr>
      <w:sz w:val="24"/>
    </w:rPr>
  </w:style>
  <w:style w:styleId="Style_25" w:type="paragraph">
    <w:name w:val="Subtitle"/>
    <w:next w:val="Style_2"/>
    <w:link w:val="Style_25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5_ch" w:type="character">
    <w:name w:val="Subtitle"/>
    <w:link w:val="Style_25"/>
    <w:rPr>
      <w:rFonts w:ascii="XO Thames" w:hAnsi="XO Thames"/>
      <w:i w:val="1"/>
      <w:sz w:val="24"/>
    </w:rPr>
  </w:style>
  <w:style w:styleId="Style_26" w:type="paragraph">
    <w:name w:val="header"/>
    <w:basedOn w:val="Style_2"/>
    <w:link w:val="Style_26_ch"/>
    <w:pPr>
      <w:tabs>
        <w:tab w:leader="none" w:pos="4677" w:val="center"/>
        <w:tab w:leader="none" w:pos="9355" w:val="right"/>
      </w:tabs>
      <w:ind/>
    </w:pPr>
  </w:style>
  <w:style w:styleId="Style_26_ch" w:type="character">
    <w:name w:val="header"/>
    <w:basedOn w:val="Style_2_ch"/>
    <w:link w:val="Style_26"/>
  </w:style>
  <w:style w:styleId="Style_27" w:type="paragraph">
    <w:name w:val="Title"/>
    <w:next w:val="Style_2"/>
    <w:link w:val="Style_27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7_ch" w:type="character">
    <w:name w:val="Title"/>
    <w:link w:val="Style_27"/>
    <w:rPr>
      <w:rFonts w:ascii="XO Thames" w:hAnsi="XO Thames"/>
      <w:b w:val="1"/>
      <w:caps w:val="1"/>
      <w:sz w:val="40"/>
    </w:rPr>
  </w:style>
  <w:style w:styleId="Style_28" w:type="paragraph">
    <w:name w:val="heading 4"/>
    <w:next w:val="Style_2"/>
    <w:link w:val="Style_28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8_ch" w:type="character">
    <w:name w:val="heading 4"/>
    <w:link w:val="Style_28"/>
    <w:rPr>
      <w:rFonts w:ascii="XO Thames" w:hAnsi="XO Thames"/>
      <w:b w:val="1"/>
      <w:sz w:val="24"/>
    </w:rPr>
  </w:style>
  <w:style w:styleId="Style_16" w:type="paragraph">
    <w:name w:val="Default Paragraph Font"/>
    <w:link w:val="Style_16_ch"/>
  </w:style>
  <w:style w:styleId="Style_16_ch" w:type="character">
    <w:name w:val="Default Paragraph Font"/>
    <w:link w:val="Style_16"/>
  </w:style>
  <w:style w:styleId="Style_29" w:type="paragraph">
    <w:name w:val="heading 2"/>
    <w:basedOn w:val="Style_2"/>
    <w:next w:val="Style_2"/>
    <w:link w:val="Style_29_ch"/>
    <w:uiPriority w:val="9"/>
    <w:qFormat/>
    <w:pPr>
      <w:keepNext w:val="1"/>
      <w:keepLines w:val="1"/>
      <w:spacing w:before="200"/>
      <w:ind/>
      <w:outlineLvl w:val="1"/>
    </w:pPr>
    <w:rPr>
      <w:rFonts w:asciiTheme="majorAscii" w:hAnsiTheme="majorHAnsi"/>
      <w:b w:val="1"/>
      <w:color w:themeColor="accent1" w:val="4472C4"/>
      <w:sz w:val="26"/>
    </w:rPr>
  </w:style>
  <w:style w:styleId="Style_29_ch" w:type="character">
    <w:name w:val="heading 2"/>
    <w:basedOn w:val="Style_2_ch"/>
    <w:link w:val="Style_29"/>
    <w:rPr>
      <w:rFonts w:asciiTheme="majorAscii" w:hAnsiTheme="majorHAnsi"/>
      <w:b w:val="1"/>
      <w:color w:themeColor="accent1" w:val="4472C4"/>
      <w:sz w:val="26"/>
    </w:rPr>
  </w:style>
  <w:style w:styleId="Style_1" w:type="table">
    <w:name w:val="Table Grid"/>
    <w:basedOn w:val="Style_30"/>
    <w:pPr>
      <w:spacing w:after="0" w:line="240" w:lineRule="auto"/>
      <w:ind/>
    </w:p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30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MyOffice-CoreFramework-Linux/31-1176.784.8785.803.1@b7d79ee91c0484ce8e5066dc862bfc403a32edb5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2026-09-04T06:55:21Z</dcterms:modified>
</cp:coreProperties>
</file>