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contextualSpacing w:val="1"/>
        <w:jc w:val="right"/>
      </w:pPr>
      <w:r>
        <w:t>24 сентября</w:t>
      </w:r>
      <w:r>
        <w:t xml:space="preserve"> </w:t>
      </w:r>
      <w:r>
        <w:t>20</w:t>
      </w:r>
      <w:r>
        <w:t>26</w:t>
      </w:r>
      <w:r>
        <w:t xml:space="preserve"> года</w:t>
      </w:r>
      <w:r>
        <w:t xml:space="preserve"> </w:t>
      </w:r>
    </w:p>
    <w:p w14:paraId="02000000">
      <w:pPr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922"/>
      </w:tblGrid>
      <w:tr>
        <w:tc>
          <w:tcPr>
            <w:tcW w:type="dxa" w:w="9922"/>
            <w:tcBorders>
              <w:top w:color="000000" w:sz="18" w:val="single"/>
              <w:left w:color="000000" w:sz="4" w:val="nil"/>
              <w:bottom w:color="000000" w:sz="18" w:val="single"/>
              <w:right w:color="000000" w:sz="4" w:val="nil"/>
            </w:tcBorders>
          </w:tcPr>
          <w:p w14:paraId="03000000">
            <w:pPr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>П Р О К У Р А Т У Р А</w:t>
            </w:r>
          </w:p>
          <w:p w14:paraId="05000000">
            <w:pPr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Сургутского района</w:t>
            </w:r>
          </w:p>
          <w:p w14:paraId="06000000">
            <w:pPr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ind/>
        <w:contextualSpacing w:val="1"/>
        <w:rPr>
          <w:b w:val="1"/>
          <w:sz w:val="20"/>
          <w:u w:val="single"/>
        </w:rPr>
      </w:pPr>
    </w:p>
    <w:p w14:paraId="08000000">
      <w:pPr>
        <w:ind/>
        <w:contextualSpacing w:val="1"/>
        <w:rPr>
          <w:sz w:val="30"/>
        </w:rPr>
      </w:pPr>
      <w:r>
        <w:rPr>
          <w:b w:val="1"/>
          <w:u w:val="single"/>
        </w:rPr>
        <w:t>Разъяснение</w:t>
      </w:r>
    </w:p>
    <w:p w14:paraId="09000000">
      <w:pPr>
        <w:ind/>
        <w:contextualSpacing w:val="1"/>
        <w:jc w:val="both"/>
      </w:pPr>
    </w:p>
    <w:p w14:paraId="0A000000">
      <w:pPr>
        <w:spacing w:before="0" w:line="240" w:lineRule="auto"/>
        <w:ind w:firstLine="0" w:left="0"/>
        <w:jc w:val="center"/>
        <w:rPr>
          <w:b w:val="0"/>
        </w:rPr>
      </w:pPr>
      <w:r>
        <w:rPr>
          <w:b w:val="1"/>
          <w:color w:val="000000"/>
          <w:sz w:val="28"/>
          <w:u w:val="none"/>
        </w:rPr>
        <w:t>«</w:t>
      </w:r>
      <w:r>
        <w:rPr>
          <w:b w:val="1"/>
        </w:rPr>
        <w:t>Минцифры даны разъяснения по вопросам обеспечения безопасности граждан, в том числе несовершеннолетних, при использовании многофункционального сервиса обмена информацией MAX</w:t>
      </w:r>
      <w:r>
        <w:rPr>
          <w:b w:val="1"/>
          <w:color w:val="000000"/>
        </w:rPr>
        <w:t>»</w:t>
      </w:r>
    </w:p>
    <w:p w14:paraId="0B000000">
      <w:pPr>
        <w:spacing w:before="0" w:line="240" w:lineRule="exact"/>
        <w:ind w:firstLine="0" w:left="0"/>
        <w:jc w:val="center"/>
        <w:rPr>
          <w:b w:val="0"/>
        </w:rPr>
      </w:pPr>
    </w:p>
    <w:p w14:paraId="0C000000">
      <w:pPr>
        <w:spacing w:before="0" w:line="240" w:lineRule="exact"/>
        <w:ind w:firstLine="709" w:left="0"/>
        <w:jc w:val="center"/>
        <w:rPr>
          <w:b w:val="0"/>
        </w:rPr>
      </w:pPr>
    </w:p>
    <w:p w14:paraId="0D000000">
      <w:pPr>
        <w:spacing w:after="0" w:before="0" w:line="240" w:lineRule="auto"/>
        <w:ind w:firstLine="709" w:left="0" w:right="0"/>
        <w:jc w:val="both"/>
        <w:rPr>
          <w:b w:val="0"/>
        </w:rPr>
      </w:pPr>
      <w:r>
        <w:rPr>
          <w:b w:val="0"/>
        </w:rPr>
        <w:t xml:space="preserve">Рассмотрены вопросы </w:t>
      </w:r>
      <w:r>
        <w:rPr>
          <w:b w:val="0"/>
        </w:rPr>
        <w:t xml:space="preserve">обработки персональных данных в сервисе MAX; </w:t>
      </w:r>
      <w:r>
        <w:rPr>
          <w:b w:val="0"/>
        </w:rPr>
        <w:t xml:space="preserve">ответственности за утечку персональных данных и неправомерный доступ к аккаунту; </w:t>
      </w:r>
      <w:r>
        <w:rPr>
          <w:b w:val="0"/>
        </w:rPr>
        <w:t xml:space="preserve">гарантий безопасности при использовании сервиса MAX; </w:t>
      </w:r>
      <w:r>
        <w:rPr>
          <w:b w:val="0"/>
        </w:rPr>
        <w:t xml:space="preserve">мер по обеспечению безопасности при использовании сервиса MAX; </w:t>
      </w:r>
      <w:r>
        <w:rPr>
          <w:b w:val="0"/>
        </w:rPr>
        <w:t>защиты прав пользователей и другие.</w:t>
      </w:r>
    </w:p>
    <w:p w14:paraId="0E000000">
      <w:pPr>
        <w:spacing w:after="0" w:before="0" w:line="240" w:lineRule="auto"/>
        <w:ind w:firstLine="709" w:left="0" w:right="0"/>
        <w:jc w:val="both"/>
        <w:rPr>
          <w:b w:val="0"/>
        </w:rPr>
      </w:pPr>
      <w:r>
        <w:rPr>
          <w:b w:val="0"/>
        </w:rPr>
        <w:t>В частности, отмечено, что при наличии оснований полагать, что нарушены требования законодательства о персональных данных, гражданин вправе обратиться в Роскомнадзор. При наличии признаков неправомерного доступа к аккаунту, хищения данных, мошенничества, угроз или иных противоправных действий следует обратиться в территориальный орган МВД России.</w:t>
      </w:r>
    </w:p>
    <w:p w14:paraId="0F000000">
      <w:pPr>
        <w:spacing w:after="0" w:before="0" w:line="240" w:lineRule="auto"/>
        <w:ind w:firstLine="709" w:left="0" w:right="0"/>
        <w:jc w:val="both"/>
        <w:rPr>
          <w:b w:val="0"/>
        </w:rPr>
      </w:pPr>
      <w:r>
        <w:rPr>
          <w:b w:val="0"/>
        </w:rPr>
        <w:t>В случае причинения ущерба гражданин вправе направить претензию лицу, действиями которого причинен ущерб, и обратиться в суд с требованием о возмещении убытков и компенсации морального вреда.</w:t>
      </w:r>
    </w:p>
    <w:p w14:paraId="10000000">
      <w:pPr>
        <w:spacing w:after="0" w:before="0" w:line="240" w:lineRule="exact"/>
        <w:ind w:firstLine="709" w:left="0" w:right="0"/>
        <w:jc w:val="both"/>
        <w:rPr>
          <w:b w:val="0"/>
        </w:rPr>
      </w:pPr>
    </w:p>
    <w:p w14:paraId="11000000">
      <w:pPr>
        <w:spacing w:line="240" w:lineRule="exact"/>
        <w:ind w:firstLine="0" w:left="-709"/>
        <w:jc w:val="both"/>
        <w:rPr>
          <w:b w:val="1"/>
          <w:color w:val="333333"/>
        </w:rPr>
      </w:pPr>
    </w:p>
    <w:p w14:paraId="12000000">
      <w:pPr>
        <w:spacing w:line="240" w:lineRule="exact"/>
        <w:ind w:right="-2"/>
        <w:contextualSpacing w:val="1"/>
        <w:jc w:val="both"/>
      </w:pPr>
      <w:r>
        <w:t>П</w:t>
      </w:r>
      <w:r>
        <w:t xml:space="preserve">рокурор </w:t>
      </w:r>
      <w:r>
        <w:t>района</w:t>
      </w:r>
      <w:r>
        <w:tab/>
      </w:r>
      <w:r>
        <w:tab/>
      </w:r>
      <w:r>
        <w:tab/>
      </w:r>
      <w:r>
        <w:tab/>
      </w:r>
      <w:r>
        <w:t xml:space="preserve">                  </w:t>
      </w:r>
      <w:r>
        <w:t xml:space="preserve">    </w:t>
      </w:r>
      <w:r>
        <w:t xml:space="preserve">                  </w:t>
      </w:r>
      <w:r>
        <w:t xml:space="preserve">  </w:t>
      </w:r>
      <w:r>
        <w:t xml:space="preserve"> </w:t>
      </w:r>
      <w:r>
        <w:t xml:space="preserve">       </w:t>
      </w:r>
      <w:r>
        <w:t xml:space="preserve"> </w:t>
      </w:r>
      <w:r>
        <w:t>М.Ш. Мавлютов</w:t>
      </w:r>
    </w:p>
    <w:p w14:paraId="13000000">
      <w:pPr>
        <w:ind w:right="-2"/>
        <w:contextualSpacing w:val="1"/>
        <w:jc w:val="both"/>
        <w:rPr>
          <w:b w:val="1"/>
          <w:sz w:val="20"/>
        </w:rPr>
      </w:pPr>
    </w:p>
    <w:p w14:paraId="14000000">
      <w:pPr>
        <w:ind w:right="-2"/>
        <w:contextualSpacing w:val="1"/>
        <w:jc w:val="both"/>
        <w:rPr>
          <w:b w:val="1"/>
          <w:sz w:val="20"/>
        </w:rPr>
      </w:pPr>
    </w:p>
    <w:p w14:paraId="15000000">
      <w:pPr>
        <w:ind w:right="-2"/>
        <w:contextualSpacing w:val="1"/>
        <w:jc w:val="both"/>
        <w:rPr>
          <w:b w:val="1"/>
          <w:sz w:val="20"/>
        </w:rPr>
      </w:pPr>
    </w:p>
    <w:p w14:paraId="16000000">
      <w:pPr>
        <w:ind w:right="-2"/>
        <w:contextualSpacing w:val="1"/>
        <w:jc w:val="both"/>
      </w:pPr>
    </w:p>
    <w:p w14:paraId="17000000">
      <w:pPr>
        <w:ind w:right="-2"/>
        <w:contextualSpacing w:val="1"/>
        <w:jc w:val="both"/>
      </w:pPr>
    </w:p>
    <w:p w14:paraId="18000000">
      <w:pPr>
        <w:ind w:right="-2"/>
        <w:contextualSpacing w:val="1"/>
        <w:jc w:val="both"/>
      </w:pPr>
    </w:p>
    <w:p w14:paraId="19000000">
      <w:pPr>
        <w:ind w:right="-2"/>
        <w:contextualSpacing w:val="1"/>
        <w:jc w:val="both"/>
      </w:pPr>
    </w:p>
    <w:p w14:paraId="1A000000">
      <w:pPr>
        <w:ind w:right="-2"/>
        <w:contextualSpacing w:val="1"/>
        <w:jc w:val="both"/>
      </w:pPr>
    </w:p>
    <w:p w14:paraId="1B000000">
      <w:pPr>
        <w:ind w:right="-2"/>
        <w:contextualSpacing w:val="1"/>
        <w:jc w:val="both"/>
      </w:pPr>
    </w:p>
    <w:p w14:paraId="1C000000">
      <w:pPr>
        <w:ind w:right="-2"/>
        <w:contextualSpacing w:val="1"/>
        <w:jc w:val="both"/>
      </w:pPr>
    </w:p>
    <w:p w14:paraId="1D000000">
      <w:pPr>
        <w:ind w:right="-2"/>
        <w:contextualSpacing w:val="1"/>
        <w:jc w:val="both"/>
      </w:pPr>
    </w:p>
    <w:p w14:paraId="1E000000">
      <w:pPr>
        <w:ind w:right="-2"/>
        <w:contextualSpacing w:val="1"/>
        <w:jc w:val="both"/>
      </w:pPr>
    </w:p>
    <w:p w14:paraId="1F000000">
      <w:pPr>
        <w:ind w:right="-2"/>
        <w:contextualSpacing w:val="1"/>
        <w:jc w:val="both"/>
      </w:pPr>
    </w:p>
    <w:p w14:paraId="20000000">
      <w:pPr>
        <w:ind w:right="-2"/>
        <w:contextualSpacing w:val="1"/>
        <w:jc w:val="both"/>
      </w:pPr>
    </w:p>
    <w:p w14:paraId="21000000">
      <w:pPr>
        <w:ind w:right="-2"/>
        <w:contextualSpacing w:val="1"/>
        <w:jc w:val="both"/>
      </w:pPr>
      <w:r>
        <w:rPr>
          <w:b w:val="1"/>
          <w:sz w:val="20"/>
        </w:rPr>
        <w:t>П</w:t>
      </w:r>
      <w:r>
        <w:rPr>
          <w:b w:val="1"/>
          <w:sz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r>
        <w:rPr>
          <w:b w:val="1"/>
          <w:sz w:val="20"/>
        </w:rPr>
        <w:t>prokuratura</w:t>
      </w:r>
      <w:r>
        <w:rPr>
          <w:b w:val="1"/>
          <w:sz w:val="20"/>
        </w:rPr>
        <w:t>-</w:t>
      </w:r>
      <w:r>
        <w:rPr>
          <w:b w:val="1"/>
          <w:sz w:val="20"/>
        </w:rPr>
        <w:t>sr</w:t>
      </w:r>
      <w:r>
        <w:rPr>
          <w:b w:val="1"/>
          <w:sz w:val="20"/>
        </w:rPr>
        <w:t>@</w:t>
      </w:r>
      <w:r>
        <w:rPr>
          <w:b w:val="1"/>
          <w:sz w:val="20"/>
        </w:rPr>
        <w:t>mail</w:t>
      </w:r>
      <w:r>
        <w:rPr>
          <w:b w:val="1"/>
          <w:sz w:val="20"/>
        </w:rPr>
        <w:t xml:space="preserve">.ru) или по каналам </w:t>
      </w:r>
      <w:r>
        <w:rPr>
          <w:b w:val="1"/>
          <w:sz w:val="20"/>
        </w:rPr>
        <w:t xml:space="preserve">телефонной </w:t>
      </w:r>
      <w:r>
        <w:rPr>
          <w:b w:val="1"/>
          <w:sz w:val="20"/>
        </w:rPr>
        <w:t>связи на тел. 8 (3462) 2199</w:t>
      </w:r>
      <w:r>
        <w:rPr>
          <w:b w:val="1"/>
          <w:sz w:val="20"/>
        </w:rPr>
        <w:t>95</w:t>
      </w:r>
    </w:p>
    <w:sectPr>
      <w:pgSz w:h="16838" w:orient="portrait" w:w="11906"/>
      <w:pgMar w:bottom="709" w:footer="709" w:gutter="0" w:header="709" w:left="1418" w:right="567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No Spacing"/>
    <w:link w:val="Style_7_ch"/>
    <w:pPr>
      <w:spacing w:after="0" w:line="240" w:lineRule="auto"/>
      <w:ind/>
    </w:pPr>
    <w:rPr>
      <w:rFonts w:ascii="Calibri" w:hAnsi="Calibri"/>
    </w:rPr>
  </w:style>
  <w:style w:styleId="Style_7_ch" w:type="character">
    <w:name w:val="No Spacing"/>
    <w:link w:val="Style_7"/>
    <w:rPr>
      <w:rFonts w:ascii="Calibri" w:hAnsi="Calibri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2"/>
    <w:next w:val="Style_2"/>
    <w:link w:val="Style_9_ch"/>
    <w:uiPriority w:val="9"/>
    <w:qFormat/>
    <w:pPr>
      <w:keepNext w:val="1"/>
      <w:keepLines w:val="1"/>
      <w:spacing w:before="200"/>
      <w:ind/>
      <w:outlineLvl w:val="2"/>
    </w:pPr>
    <w:rPr>
      <w:rFonts w:asciiTheme="majorAscii" w:hAnsiTheme="majorHAnsi"/>
      <w:b w:val="1"/>
      <w:color w:themeColor="accent1" w:val="4472C4"/>
    </w:rPr>
  </w:style>
  <w:style w:styleId="Style_9_ch" w:type="character">
    <w:name w:val="heading 3"/>
    <w:basedOn w:val="Style_2_ch"/>
    <w:link w:val="Style_9"/>
    <w:rPr>
      <w:rFonts w:asciiTheme="majorAscii" w:hAnsiTheme="majorHAnsi"/>
      <w:b w:val="1"/>
      <w:color w:themeColor="accent1" w:val="4472C4"/>
    </w:rPr>
  </w:style>
  <w:style w:styleId="Style_10" w:type="paragraph">
    <w:name w:val="header"/>
    <w:basedOn w:val="Style_2"/>
    <w:link w:val="Style_10_ch"/>
    <w:pPr>
      <w:tabs>
        <w:tab w:leader="none" w:pos="4677" w:val="center"/>
        <w:tab w:leader="none" w:pos="9355" w:val="right"/>
      </w:tabs>
      <w:ind/>
    </w:pPr>
  </w:style>
  <w:style w:styleId="Style_10_ch" w:type="character">
    <w:name w:val="header"/>
    <w:basedOn w:val="Style_2_ch"/>
    <w:link w:val="Style_10"/>
  </w:style>
  <w:style w:styleId="Style_11" w:type="paragraph">
    <w:name w:val="Balloon Text"/>
    <w:basedOn w:val="Style_2"/>
    <w:link w:val="Style_11_ch"/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Normal (Web)"/>
    <w:basedOn w:val="Style_2"/>
    <w:link w:val="Style_13_ch"/>
    <w:pPr>
      <w:spacing w:afterAutospacing="on" w:beforeAutospacing="on"/>
      <w:ind/>
    </w:pPr>
    <w:rPr>
      <w:sz w:val="24"/>
    </w:rPr>
  </w:style>
  <w:style w:styleId="Style_13_ch" w:type="character">
    <w:name w:val="Normal (Web)"/>
    <w:basedOn w:val="Style_2_ch"/>
    <w:link w:val="Style_13"/>
    <w:rPr>
      <w:sz w:val="24"/>
    </w:rPr>
  </w:style>
  <w:style w:styleId="Style_14" w:type="paragraph">
    <w:name w:val="toc 3"/>
    <w:next w:val="Style_2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Body Text Indent"/>
    <w:basedOn w:val="Style_2"/>
    <w:link w:val="Style_15_ch"/>
    <w:pPr>
      <w:ind w:firstLine="709" w:left="0"/>
      <w:jc w:val="both"/>
    </w:pPr>
  </w:style>
  <w:style w:styleId="Style_15_ch" w:type="character">
    <w:name w:val="Body Text Indent"/>
    <w:basedOn w:val="Style_2_ch"/>
    <w:link w:val="Style_15"/>
  </w:style>
  <w:style w:styleId="Style_16" w:type="paragraph">
    <w:name w:val="heading 5"/>
    <w:basedOn w:val="Style_2"/>
    <w:next w:val="Style_2"/>
    <w:link w:val="Style_16_ch"/>
    <w:uiPriority w:val="9"/>
    <w:qFormat/>
    <w:pPr>
      <w:keepNext w:val="1"/>
      <w:keepLines w:val="1"/>
      <w:spacing w:before="200"/>
      <w:ind/>
      <w:outlineLvl w:val="4"/>
    </w:pPr>
    <w:rPr>
      <w:rFonts w:asciiTheme="majorAscii" w:hAnsiTheme="majorHAnsi"/>
      <w:color w:themeColor="accent1" w:themeShade="7F" w:val="203864"/>
    </w:rPr>
  </w:style>
  <w:style w:styleId="Style_16_ch" w:type="character">
    <w:name w:val="heading 5"/>
    <w:basedOn w:val="Style_2_ch"/>
    <w:link w:val="Style_16"/>
    <w:rPr>
      <w:rFonts w:asciiTheme="majorAscii" w:hAnsiTheme="majorHAnsi"/>
      <w:color w:themeColor="accent1" w:themeShade="7F" w:val="203864"/>
    </w:rPr>
  </w:style>
  <w:style w:styleId="Style_17" w:type="paragraph">
    <w:name w:val="heading 1"/>
    <w:basedOn w:val="Style_2"/>
    <w:next w:val="Style_2"/>
    <w:link w:val="Style_17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2F5496"/>
    </w:rPr>
  </w:style>
  <w:style w:styleId="Style_17_ch" w:type="character">
    <w:name w:val="heading 1"/>
    <w:basedOn w:val="Style_2_ch"/>
    <w:link w:val="Style_17"/>
    <w:rPr>
      <w:rFonts w:asciiTheme="majorAscii" w:hAnsiTheme="majorHAnsi"/>
      <w:b w:val="1"/>
      <w:color w:themeColor="accent1" w:themeShade="BF" w:val="2F5496"/>
    </w:rPr>
  </w:style>
  <w:style w:styleId="Style_18" w:type="paragraph">
    <w:name w:val="Hyperlink"/>
    <w:basedOn w:val="Style_12"/>
    <w:link w:val="Style_18_ch"/>
    <w:rPr>
      <w:color w:themeColor="hyperlink" w:val="0563C1"/>
      <w:u w:val="single"/>
    </w:rPr>
  </w:style>
  <w:style w:styleId="Style_18_ch" w:type="character">
    <w:name w:val="Hyperlink"/>
    <w:basedOn w:val="Style_12_ch"/>
    <w:link w:val="Style_18"/>
    <w:rPr>
      <w:color w:themeColor="hyperlink" w:val="0563C1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footer"/>
    <w:basedOn w:val="Style_2"/>
    <w:link w:val="Style_28_ch"/>
    <w:pPr>
      <w:tabs>
        <w:tab w:leader="none" w:pos="4677" w:val="center"/>
        <w:tab w:leader="none" w:pos="9355" w:val="right"/>
      </w:tabs>
      <w:ind/>
    </w:pPr>
  </w:style>
  <w:style w:styleId="Style_28_ch" w:type="character">
    <w:name w:val="footer"/>
    <w:basedOn w:val="Style_2_ch"/>
    <w:link w:val="Style_28"/>
  </w:style>
  <w:style w:styleId="Style_29" w:type="paragraph">
    <w:name w:val="heading 2"/>
    <w:basedOn w:val="Style_2"/>
    <w:next w:val="Style_2"/>
    <w:link w:val="Style_29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4472C4"/>
      <w:sz w:val="26"/>
    </w:rPr>
  </w:style>
  <w:style w:styleId="Style_29_ch" w:type="character">
    <w:name w:val="heading 2"/>
    <w:basedOn w:val="Style_2_ch"/>
    <w:link w:val="Style_29"/>
    <w:rPr>
      <w:rFonts w:asciiTheme="majorAscii" w:hAnsiTheme="majorHAnsi"/>
      <w:b w:val="1"/>
      <w:color w:themeColor="accent1" w:val="4472C4"/>
      <w:sz w:val="26"/>
    </w:rPr>
  </w:style>
  <w:style w:styleId="Style_1" w:type="table">
    <w:name w:val="Table Grid"/>
    <w:basedOn w:val="Style_30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2026-09-24T09:41:20Z</dcterms:modified>
</cp:coreProperties>
</file>