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contextualSpacing w:val="1"/>
        <w:jc w:val="right"/>
      </w:pPr>
      <w:r>
        <w:t>04 сентября</w:t>
      </w:r>
      <w:r>
        <w:t xml:space="preserve"> </w:t>
      </w:r>
      <w:r>
        <w:t>20</w:t>
      </w:r>
      <w:r>
        <w:t>26</w:t>
      </w:r>
      <w:r>
        <w:t xml:space="preserve"> года</w:t>
      </w:r>
      <w:r>
        <w:t xml:space="preserve"> </w:t>
      </w:r>
    </w:p>
    <w:p w14:paraId="02000000">
      <w:pPr>
        <w:ind/>
        <w:contextualSpacing w:val="1"/>
        <w:jc w:val="center"/>
        <w:rPr>
          <w:sz w:val="10"/>
        </w:rPr>
      </w:pPr>
    </w:p>
    <w:tbl>
      <w:tblPr>
        <w:tblStyle w:val="Style_1"/>
        <w:tblW w:type="auto" w:w="0"/>
        <w:tblInd w:type="dxa" w:w="108"/>
        <w:tblBorders>
          <w:left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22"/>
      </w:tblGrid>
      <w:tr>
        <w:tc>
          <w:tcPr>
            <w:tcW w:type="dxa" w:w="9922"/>
            <w:tcBorders>
              <w:top w:color="000000" w:sz="18" w:val="single"/>
              <w:left w:color="000000" w:sz="4" w:val="nil"/>
              <w:bottom w:color="000000" w:sz="18" w:val="single"/>
              <w:right w:color="000000" w:sz="4" w:val="nil"/>
            </w:tcBorders>
          </w:tcPr>
          <w:p w14:paraId="03000000">
            <w:pPr>
              <w:ind/>
              <w:contextualSpacing w:val="1"/>
              <w:jc w:val="center"/>
              <w:rPr>
                <w:spacing w:val="-4"/>
                <w:sz w:val="20"/>
              </w:rPr>
            </w:pPr>
          </w:p>
          <w:p w14:paraId="04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-4"/>
                <w:sz w:val="56"/>
              </w:rPr>
              <w:t>П Р О К У Р А Т У Р А</w:t>
            </w:r>
          </w:p>
          <w:p w14:paraId="05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8"/>
              </w:rPr>
              <w:t>Сургутского района</w:t>
            </w:r>
          </w:p>
          <w:p w14:paraId="06000000">
            <w:pPr>
              <w:ind/>
              <w:contextualSpacing w:val="1"/>
              <w:jc w:val="center"/>
              <w:rPr>
                <w:sz w:val="20"/>
              </w:rPr>
            </w:pPr>
          </w:p>
        </w:tc>
      </w:tr>
    </w:tbl>
    <w:p w14:paraId="07000000">
      <w:pPr>
        <w:ind/>
        <w:contextualSpacing w:val="1"/>
        <w:rPr>
          <w:b w:val="1"/>
          <w:sz w:val="20"/>
          <w:u w:val="single"/>
        </w:rPr>
      </w:pPr>
    </w:p>
    <w:p w14:paraId="08000000">
      <w:pPr>
        <w:ind/>
        <w:contextualSpacing w:val="1"/>
        <w:rPr>
          <w:sz w:val="30"/>
        </w:rPr>
      </w:pPr>
      <w:r>
        <w:rPr>
          <w:b w:val="1"/>
          <w:u w:val="single"/>
        </w:rPr>
        <w:t>Разъяснение</w:t>
      </w:r>
    </w:p>
    <w:p w14:paraId="09000000">
      <w:pPr>
        <w:ind/>
        <w:contextualSpacing w:val="1"/>
        <w:jc w:val="both"/>
      </w:pPr>
    </w:p>
    <w:p w14:paraId="0A000000">
      <w:pPr>
        <w:ind w:firstLine="0" w:left="0"/>
        <w:jc w:val="center"/>
        <w:rPr>
          <w:b w:val="0"/>
        </w:rPr>
      </w:pPr>
      <w:r>
        <w:rPr>
          <w:b w:val="1"/>
          <w:color w:val="000000"/>
          <w:sz w:val="28"/>
          <w:u w:val="none"/>
        </w:rPr>
        <w:t>«</w:t>
      </w:r>
      <w:r>
        <w:rPr>
          <w:b w:val="1"/>
        </w:rPr>
        <w:t>Цифровой рубль с 01.09.2026: утвержден перечень разрешенных операций и лимит для физлиц</w:t>
      </w:r>
      <w:r>
        <w:rPr>
          <w:b w:val="1"/>
          <w:color w:val="000000"/>
        </w:rPr>
        <w:t>»</w:t>
      </w:r>
    </w:p>
    <w:p w14:paraId="0B000000">
      <w:pPr>
        <w:ind w:firstLine="0" w:left="0"/>
        <w:jc w:val="center"/>
        <w:rPr>
          <w:b w:val="0"/>
        </w:rPr>
      </w:pPr>
    </w:p>
    <w:p w14:paraId="0C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rPr>
          <w:b w:val="0"/>
        </w:rPr>
        <w:t>Установлен перечень разрешенных операций с цифровыми рублями, включающий:</w:t>
      </w:r>
      <w:r>
        <w:br/>
      </w:r>
      <w:r>
        <w:rPr>
          <w:b w:val="0"/>
        </w:rPr>
        <w:t>увеличение остатка на счете цифрового рубля и его уменьшение путем перевода денежных средств с использованием банковских счетов и электронных кошельков;</w:t>
      </w:r>
    </w:p>
    <w:p w14:paraId="0D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rPr>
          <w:b w:val="0"/>
        </w:rPr>
        <w:t>перевод другим лицам цифровых рублей и их получение, за исключением оплаты проезда по платным автомобильным дорогам.</w:t>
      </w:r>
    </w:p>
    <w:p w14:paraId="0E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rPr>
          <w:b w:val="0"/>
        </w:rPr>
        <w:t>Для физлиц вводится ежемесячный лимит в размере 300 000 рублей на сумму всех операций в течение календарного месяца по увеличению остатка на счете цифрового рубля, путем пополнения за счет денежных средств с банковских счетов и электронных кошельков.</w:t>
      </w:r>
    </w:p>
    <w:p w14:paraId="0F000000">
      <w:pPr>
        <w:spacing w:after="0" w:before="0" w:line="240" w:lineRule="exact"/>
        <w:ind w:firstLine="709" w:left="0" w:right="0"/>
        <w:jc w:val="both"/>
        <w:rPr>
          <w:b w:val="0"/>
        </w:rPr>
      </w:pPr>
    </w:p>
    <w:p w14:paraId="10000000">
      <w:pPr>
        <w:spacing w:line="240" w:lineRule="exact"/>
        <w:ind w:firstLine="0" w:left="-709"/>
        <w:jc w:val="both"/>
        <w:rPr>
          <w:b w:val="1"/>
          <w:color w:val="333333"/>
        </w:rPr>
      </w:pPr>
    </w:p>
    <w:p w14:paraId="11000000">
      <w:pPr>
        <w:spacing w:line="240" w:lineRule="exact"/>
        <w:ind w:right="-2"/>
        <w:contextualSpacing w:val="1"/>
        <w:jc w:val="both"/>
      </w:pPr>
      <w:r>
        <w:t>П</w:t>
      </w:r>
      <w:r>
        <w:t xml:space="preserve">рокурор </w:t>
      </w:r>
      <w:r>
        <w:t>района</w:t>
      </w:r>
      <w:r>
        <w:tab/>
      </w:r>
      <w:r>
        <w:tab/>
      </w:r>
      <w:r>
        <w:tab/>
      </w:r>
      <w:r>
        <w:tab/>
      </w:r>
      <w:r>
        <w:t xml:space="preserve">                  </w:t>
      </w:r>
      <w:r>
        <w:t xml:space="preserve">    </w:t>
      </w:r>
      <w:r>
        <w:t xml:space="preserve">                  </w:t>
      </w:r>
      <w:r>
        <w:t xml:space="preserve">  </w:t>
      </w:r>
      <w:r>
        <w:t xml:space="preserve"> </w:t>
      </w:r>
      <w:r>
        <w:t xml:space="preserve">       </w:t>
      </w:r>
      <w:r>
        <w:t xml:space="preserve"> </w:t>
      </w:r>
      <w:r>
        <w:t>М.Ш. Мавлютов</w:t>
      </w:r>
    </w:p>
    <w:p w14:paraId="12000000">
      <w:pPr>
        <w:ind w:right="-2"/>
        <w:contextualSpacing w:val="1"/>
        <w:jc w:val="both"/>
        <w:rPr>
          <w:b w:val="1"/>
          <w:sz w:val="20"/>
        </w:rPr>
      </w:pPr>
    </w:p>
    <w:p w14:paraId="13000000">
      <w:pPr>
        <w:ind w:right="-2"/>
        <w:contextualSpacing w:val="1"/>
        <w:jc w:val="both"/>
        <w:rPr>
          <w:b w:val="1"/>
          <w:sz w:val="20"/>
        </w:rPr>
      </w:pPr>
    </w:p>
    <w:p w14:paraId="14000000">
      <w:pPr>
        <w:ind w:right="-2"/>
        <w:contextualSpacing w:val="1"/>
        <w:jc w:val="both"/>
        <w:rPr>
          <w:b w:val="1"/>
          <w:sz w:val="20"/>
        </w:rPr>
      </w:pPr>
    </w:p>
    <w:p w14:paraId="15000000">
      <w:pPr>
        <w:ind w:right="-2"/>
        <w:contextualSpacing w:val="1"/>
        <w:jc w:val="both"/>
      </w:pPr>
    </w:p>
    <w:p w14:paraId="16000000">
      <w:pPr>
        <w:ind w:right="-2"/>
        <w:contextualSpacing w:val="1"/>
        <w:jc w:val="both"/>
      </w:pPr>
    </w:p>
    <w:p w14:paraId="17000000">
      <w:pPr>
        <w:ind w:right="-2"/>
        <w:contextualSpacing w:val="1"/>
        <w:jc w:val="both"/>
      </w:pPr>
    </w:p>
    <w:p w14:paraId="18000000">
      <w:pPr>
        <w:ind w:right="-2"/>
        <w:contextualSpacing w:val="1"/>
        <w:jc w:val="both"/>
      </w:pPr>
    </w:p>
    <w:p w14:paraId="19000000">
      <w:pPr>
        <w:ind w:right="-2"/>
        <w:contextualSpacing w:val="1"/>
        <w:jc w:val="both"/>
      </w:pPr>
    </w:p>
    <w:p w14:paraId="1A000000">
      <w:pPr>
        <w:ind w:right="-2"/>
        <w:contextualSpacing w:val="1"/>
        <w:jc w:val="both"/>
      </w:pPr>
    </w:p>
    <w:p w14:paraId="1B000000">
      <w:pPr>
        <w:ind w:right="-2"/>
        <w:contextualSpacing w:val="1"/>
        <w:jc w:val="both"/>
      </w:pPr>
    </w:p>
    <w:p w14:paraId="1C000000">
      <w:pPr>
        <w:ind w:right="-2"/>
        <w:contextualSpacing w:val="1"/>
        <w:jc w:val="both"/>
      </w:pPr>
    </w:p>
    <w:p w14:paraId="1D000000">
      <w:pPr>
        <w:ind w:right="-2"/>
        <w:contextualSpacing w:val="1"/>
        <w:jc w:val="both"/>
      </w:pPr>
    </w:p>
    <w:p w14:paraId="1E000000">
      <w:pPr>
        <w:ind w:right="-2"/>
        <w:contextualSpacing w:val="1"/>
        <w:jc w:val="both"/>
      </w:pPr>
    </w:p>
    <w:p w14:paraId="1F000000">
      <w:pPr>
        <w:ind w:right="-2"/>
        <w:contextualSpacing w:val="1"/>
        <w:jc w:val="both"/>
      </w:pPr>
    </w:p>
    <w:p w14:paraId="20000000">
      <w:pPr>
        <w:ind w:right="-2"/>
        <w:contextualSpacing w:val="1"/>
        <w:jc w:val="both"/>
      </w:pPr>
    </w:p>
    <w:p w14:paraId="21000000">
      <w:pPr>
        <w:ind w:right="-2"/>
        <w:contextualSpacing w:val="1"/>
        <w:jc w:val="both"/>
      </w:pPr>
    </w:p>
    <w:p w14:paraId="22000000">
      <w:pPr>
        <w:ind w:right="-2"/>
        <w:contextualSpacing w:val="1"/>
        <w:jc w:val="both"/>
      </w:pPr>
    </w:p>
    <w:p w14:paraId="23000000">
      <w:pPr>
        <w:ind w:right="-2"/>
        <w:contextualSpacing w:val="1"/>
        <w:jc w:val="both"/>
      </w:pPr>
      <w:r>
        <w:rPr>
          <w:b w:val="1"/>
          <w:sz w:val="20"/>
        </w:rPr>
        <w:t>П</w:t>
      </w:r>
      <w:r>
        <w:rPr>
          <w:b w:val="1"/>
          <w:sz w:val="20"/>
        </w:rPr>
        <w:t>ри использовании указанной информации ссылка на прокуратуру района является обязательной. При освещении информации в теле-, радиоэфирах необходимо направлять эфирные справки (количество эфиров с учетом повторов) на адрес электронной почты (</w:t>
      </w:r>
      <w:r>
        <w:rPr>
          <w:b w:val="1"/>
          <w:sz w:val="20"/>
        </w:rPr>
        <w:t>prokuratura</w:t>
      </w:r>
      <w:r>
        <w:rPr>
          <w:b w:val="1"/>
          <w:sz w:val="20"/>
        </w:rPr>
        <w:t>-</w:t>
      </w:r>
      <w:r>
        <w:rPr>
          <w:b w:val="1"/>
          <w:sz w:val="20"/>
        </w:rPr>
        <w:t>sr</w:t>
      </w:r>
      <w:r>
        <w:rPr>
          <w:b w:val="1"/>
          <w:sz w:val="20"/>
        </w:rPr>
        <w:t>@</w:t>
      </w:r>
      <w:r>
        <w:rPr>
          <w:b w:val="1"/>
          <w:sz w:val="20"/>
        </w:rPr>
        <w:t>mail</w:t>
      </w:r>
      <w:r>
        <w:rPr>
          <w:b w:val="1"/>
          <w:sz w:val="20"/>
        </w:rPr>
        <w:t xml:space="preserve">.ru) или по каналам </w:t>
      </w:r>
      <w:r>
        <w:rPr>
          <w:b w:val="1"/>
          <w:sz w:val="20"/>
        </w:rPr>
        <w:t xml:space="preserve">телефонной </w:t>
      </w:r>
      <w:r>
        <w:rPr>
          <w:b w:val="1"/>
          <w:sz w:val="20"/>
        </w:rPr>
        <w:t>связи на тел. 8 (3462) 2199</w:t>
      </w:r>
      <w:r>
        <w:rPr>
          <w:b w:val="1"/>
          <w:sz w:val="20"/>
        </w:rPr>
        <w:t>95</w:t>
      </w:r>
    </w:p>
    <w:sectPr>
      <w:pgSz w:h="16838" w:orient="portrait" w:w="11906"/>
      <w:pgMar w:bottom="709" w:footer="709" w:gutter="0" w:header="709" w:left="1418" w:right="567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2_ch" w:type="character">
    <w:name w:val="Normal"/>
    <w:link w:val="Style_2"/>
    <w:rPr>
      <w:rFonts w:ascii="Times New Roman" w:hAnsi="Times New Roman"/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basedOn w:val="Style_2"/>
    <w:next w:val="Style_2"/>
    <w:link w:val="Style_8_ch"/>
    <w:uiPriority w:val="9"/>
    <w:qFormat/>
    <w:pPr>
      <w:keepNext w:val="1"/>
      <w:keepLines w:val="1"/>
      <w:spacing w:before="200"/>
      <w:ind/>
      <w:outlineLvl w:val="2"/>
    </w:pPr>
    <w:rPr>
      <w:rFonts w:asciiTheme="majorAscii" w:hAnsiTheme="majorHAnsi"/>
      <w:b w:val="1"/>
      <w:color w:themeColor="accent1" w:val="4472C4"/>
    </w:rPr>
  </w:style>
  <w:style w:styleId="Style_8_ch" w:type="character">
    <w:name w:val="heading 3"/>
    <w:basedOn w:val="Style_2_ch"/>
    <w:link w:val="Style_8"/>
    <w:rPr>
      <w:rFonts w:asciiTheme="majorAscii" w:hAnsiTheme="majorHAnsi"/>
      <w:b w:val="1"/>
      <w:color w:themeColor="accent1" w:val="4472C4"/>
    </w:rPr>
  </w:style>
  <w:style w:styleId="Style_9" w:type="paragraph">
    <w:name w:val="header"/>
    <w:basedOn w:val="Style_2"/>
    <w:link w:val="Style_9_ch"/>
    <w:pPr>
      <w:tabs>
        <w:tab w:leader="none" w:pos="4677" w:val="center"/>
        <w:tab w:leader="none" w:pos="9355" w:val="right"/>
      </w:tabs>
      <w:ind/>
    </w:pPr>
  </w:style>
  <w:style w:styleId="Style_9_ch" w:type="character">
    <w:name w:val="header"/>
    <w:basedOn w:val="Style_2_ch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basedOn w:val="Style_2"/>
    <w:next w:val="Style_2"/>
    <w:link w:val="Style_11_ch"/>
    <w:uiPriority w:val="9"/>
    <w:qFormat/>
    <w:pPr>
      <w:keepNext w:val="1"/>
      <w:keepLines w:val="1"/>
      <w:spacing w:before="200"/>
      <w:ind/>
      <w:outlineLvl w:val="4"/>
    </w:pPr>
    <w:rPr>
      <w:rFonts w:asciiTheme="majorAscii" w:hAnsiTheme="majorHAnsi"/>
      <w:color w:themeColor="accent1" w:themeShade="7F" w:val="203864"/>
    </w:rPr>
  </w:style>
  <w:style w:styleId="Style_11_ch" w:type="character">
    <w:name w:val="heading 5"/>
    <w:basedOn w:val="Style_2_ch"/>
    <w:link w:val="Style_11"/>
    <w:rPr>
      <w:rFonts w:asciiTheme="majorAscii" w:hAnsiTheme="majorHAnsi"/>
      <w:color w:themeColor="accent1" w:themeShade="7F" w:val="203864"/>
    </w:rPr>
  </w:style>
  <w:style w:styleId="Style_12" w:type="paragraph">
    <w:name w:val="heading 1"/>
    <w:basedOn w:val="Style_2"/>
    <w:next w:val="Style_2"/>
    <w:link w:val="Style_12_ch"/>
    <w:uiPriority w:val="9"/>
    <w:qFormat/>
    <w:pPr>
      <w:keepNext w:val="1"/>
      <w:keepLines w:val="1"/>
      <w:spacing w:before="480"/>
      <w:ind/>
      <w:outlineLvl w:val="0"/>
    </w:pPr>
    <w:rPr>
      <w:rFonts w:asciiTheme="majorAscii" w:hAnsiTheme="majorHAnsi"/>
      <w:b w:val="1"/>
      <w:color w:themeColor="accent1" w:themeShade="BF" w:val="2F5496"/>
    </w:rPr>
  </w:style>
  <w:style w:styleId="Style_12_ch" w:type="character">
    <w:name w:val="heading 1"/>
    <w:basedOn w:val="Style_2_ch"/>
    <w:link w:val="Style_12"/>
    <w:rPr>
      <w:rFonts w:asciiTheme="majorAscii" w:hAnsiTheme="majorHAnsi"/>
      <w:b w:val="1"/>
      <w:color w:themeColor="accent1" w:themeShade="BF" w:val="2F5496"/>
    </w:rPr>
  </w:style>
  <w:style w:styleId="Style_13" w:type="paragraph">
    <w:name w:val="Hyperlink"/>
    <w:basedOn w:val="Style_14"/>
    <w:link w:val="Style_13_ch"/>
    <w:rPr>
      <w:color w:themeColor="hyperlink" w:val="0563C1"/>
      <w:u w:val="single"/>
    </w:rPr>
  </w:style>
  <w:style w:styleId="Style_13_ch" w:type="character">
    <w:name w:val="Hyperlink"/>
    <w:basedOn w:val="Style_14_ch"/>
    <w:link w:val="Style_13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No Spacing"/>
    <w:link w:val="Style_17_ch"/>
    <w:pPr>
      <w:spacing w:after="0" w:line="240" w:lineRule="auto"/>
      <w:ind/>
    </w:pPr>
    <w:rPr>
      <w:rFonts w:ascii="Calibri" w:hAnsi="Calibri"/>
    </w:rPr>
  </w:style>
  <w:style w:styleId="Style_17_ch" w:type="character">
    <w:name w:val="No Spacing"/>
    <w:link w:val="Style_17"/>
    <w:rPr>
      <w:rFonts w:ascii="Calibri" w:hAnsi="Calibri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Balloon Text"/>
    <w:basedOn w:val="Style_2"/>
    <w:link w:val="Style_19_ch"/>
    <w:rPr>
      <w:rFonts w:ascii="Segoe UI" w:hAnsi="Segoe UI"/>
      <w:sz w:val="18"/>
    </w:rPr>
  </w:style>
  <w:style w:styleId="Style_19_ch" w:type="character">
    <w:name w:val="Balloon Text"/>
    <w:basedOn w:val="Style_2_ch"/>
    <w:link w:val="Style_19"/>
    <w:rPr>
      <w:rFonts w:ascii="Segoe UI" w:hAnsi="Segoe UI"/>
      <w:sz w:val="18"/>
    </w:rPr>
  </w:style>
  <w:style w:styleId="Style_20" w:type="paragraph">
    <w:name w:val="footer"/>
    <w:basedOn w:val="Style_2"/>
    <w:link w:val="Style_20_ch"/>
    <w:pPr>
      <w:tabs>
        <w:tab w:leader="none" w:pos="4677" w:val="center"/>
        <w:tab w:leader="none" w:pos="9355" w:val="right"/>
      </w:tabs>
      <w:ind/>
    </w:pPr>
  </w:style>
  <w:style w:styleId="Style_20_ch" w:type="character">
    <w:name w:val="footer"/>
    <w:basedOn w:val="Style_2_ch"/>
    <w:link w:val="Style_20"/>
  </w:style>
  <w:style w:styleId="Style_21" w:type="paragraph">
    <w:name w:val="toc 9"/>
    <w:next w:val="Style_2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2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2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Normal (Web)"/>
    <w:basedOn w:val="Style_2"/>
    <w:link w:val="Style_24_ch"/>
    <w:pPr>
      <w:spacing w:afterAutospacing="on" w:beforeAutospacing="on"/>
      <w:ind/>
    </w:pPr>
    <w:rPr>
      <w:sz w:val="24"/>
    </w:rPr>
  </w:style>
  <w:style w:styleId="Style_24_ch" w:type="character">
    <w:name w:val="Normal (Web)"/>
    <w:basedOn w:val="Style_2_ch"/>
    <w:link w:val="Style_24"/>
    <w:rPr>
      <w:sz w:val="24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5" w:type="paragraph">
    <w:name w:val="Subtitle"/>
    <w:next w:val="Style_2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2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Body Text Indent"/>
    <w:basedOn w:val="Style_2"/>
    <w:link w:val="Style_28_ch"/>
    <w:pPr>
      <w:ind w:firstLine="709" w:left="0"/>
      <w:jc w:val="both"/>
    </w:pPr>
  </w:style>
  <w:style w:styleId="Style_28_ch" w:type="character">
    <w:name w:val="Body Text Indent"/>
    <w:basedOn w:val="Style_2_ch"/>
    <w:link w:val="Style_28"/>
  </w:style>
  <w:style w:styleId="Style_29" w:type="paragraph">
    <w:name w:val="heading 2"/>
    <w:basedOn w:val="Style_2"/>
    <w:next w:val="Style_2"/>
    <w:link w:val="Style_29_ch"/>
    <w:uiPriority w:val="9"/>
    <w:qFormat/>
    <w:pPr>
      <w:keepNext w:val="1"/>
      <w:keepLines w:val="1"/>
      <w:spacing w:before="200"/>
      <w:ind/>
      <w:outlineLvl w:val="1"/>
    </w:pPr>
    <w:rPr>
      <w:rFonts w:asciiTheme="majorAscii" w:hAnsiTheme="majorHAnsi"/>
      <w:b w:val="1"/>
      <w:color w:themeColor="accent1" w:val="4472C4"/>
      <w:sz w:val="26"/>
    </w:rPr>
  </w:style>
  <w:style w:styleId="Style_29_ch" w:type="character">
    <w:name w:val="heading 2"/>
    <w:basedOn w:val="Style_2_ch"/>
    <w:link w:val="Style_29"/>
    <w:rPr>
      <w:rFonts w:asciiTheme="majorAscii" w:hAnsiTheme="majorHAnsi"/>
      <w:b w:val="1"/>
      <w:color w:themeColor="accent1" w:val="4472C4"/>
      <w:sz w:val="2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2026-09-04T07:16:18Z</dcterms:modified>
</cp:coreProperties>
</file>